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C8C8C"/>
          <w:sz w:val="17"/>
        </w:rPr>
        <w:t>ГК «МЕРИДИАН» · учебный кейс, данные синтетические</w:t>
      </w:r>
    </w:p>
    <w:p>
      <w:pPr>
        <w:pStyle w:val="Heading1"/>
      </w:pPr>
      <w:r>
        <w:t>Регламент планово-предупредительных ремонтов оборудования</w:t>
      </w:r>
    </w:p>
    <w:p>
      <w:r>
        <w:rPr>
          <w:i/>
          <w:color w:val="58595B"/>
        </w:rPr>
        <w:t>Р-МС-07 · «Меридиан Сталь» · Владелец процесса: главный инженер · Редакция 2 от 01.03.2023</w:t>
      </w:r>
    </w:p>
    <w:p>
      <w:pPr>
        <w:pStyle w:val="Heading2"/>
      </w:pPr>
      <w:r>
        <w:t>1. Цель и область применения</w:t>
      </w:r>
    </w:p>
    <w:p>
      <w:pPr>
        <w:spacing w:after="80"/>
        <w:ind w:left="340"/>
      </w:pPr>
      <w:r>
        <w:rPr>
          <w:b/>
        </w:rPr>
        <w:t xml:space="preserve">1.1. </w:t>
      </w:r>
      <w:r>
        <w:t>Регламент определяет порядок планирования и выполнения ремонтов ключевых агрегатов: доменных печей, воздуходувок, кислородных конвертеров, машин непрерывного литья заготовок (МНЛЗ).</w:t>
      </w:r>
    </w:p>
    <w:p>
      <w:pPr>
        <w:pStyle w:val="Heading2"/>
      </w:pPr>
      <w:r>
        <w:t>2. Участники</w:t>
      </w:r>
    </w:p>
    <w:p>
      <w:pPr>
        <w:spacing w:after="80"/>
        <w:ind w:left="340"/>
      </w:pPr>
      <w:r>
        <w:rPr>
          <w:b/>
        </w:rPr>
        <w:t xml:space="preserve">2.1. </w:t>
      </w:r>
      <w:r>
        <w:t>Служба главного инженера — утверждение годового плана ППР, расследование отказов.</w:t>
      </w:r>
    </w:p>
    <w:p>
      <w:pPr>
        <w:spacing w:after="80"/>
        <w:ind w:left="340"/>
      </w:pPr>
      <w:r>
        <w:rPr>
          <w:b/>
        </w:rPr>
        <w:t xml:space="preserve">2.2. </w:t>
      </w:r>
      <w:r>
        <w:t>Ремонтная служба — выполнение ППР и аварийно-восстановительных работ.</w:t>
      </w:r>
    </w:p>
    <w:p>
      <w:pPr>
        <w:spacing w:after="80"/>
        <w:ind w:left="340"/>
      </w:pPr>
      <w:r>
        <w:rPr>
          <w:b/>
        </w:rPr>
        <w:t xml:space="preserve">2.3. </w:t>
      </w:r>
      <w:r>
        <w:t>Служба МТО ремонтов — обеспечение запасными частями и материалами.</w:t>
      </w:r>
    </w:p>
    <w:p>
      <w:pPr>
        <w:pStyle w:val="Heading2"/>
      </w:pPr>
      <w:r>
        <w:t>3. Планирование ремонтов</w:t>
      </w:r>
    </w:p>
    <w:p>
      <w:pPr>
        <w:spacing w:after="80"/>
        <w:ind w:left="340"/>
      </w:pPr>
      <w:r>
        <w:rPr>
          <w:b/>
        </w:rPr>
        <w:t xml:space="preserve">3.1. </w:t>
      </w:r>
      <w:r>
        <w:t>Годовой план ППР формируется по календарному принципу на основе нормативной периодичности ремонтов. Фактическое техническое состояние и критичность оборудования при планировании не учитываются.</w:t>
      </w:r>
    </w:p>
    <w:p>
      <w:pPr>
        <w:spacing w:after="80"/>
        <w:ind w:left="340"/>
      </w:pPr>
      <w:r>
        <w:rPr>
          <w:b/>
        </w:rPr>
        <w:t xml:space="preserve">3.2. </w:t>
      </w:r>
      <w:r>
        <w:t>Эффективность ремонтной службы оценивается по выполнению плана ППР по количеству работ.</w:t>
      </w:r>
    </w:p>
    <w:p>
      <w:pPr>
        <w:spacing w:after="80"/>
        <w:ind w:left="340"/>
      </w:pPr>
      <w:r>
        <w:rPr>
          <w:b/>
        </w:rPr>
        <w:t xml:space="preserve">3.3. </w:t>
      </w:r>
      <w:r>
        <w:t>Работы, выявленные по результатам диагностики и не включённые в план ППР, выполняются после плановых работ при наличии свободных ресурсов.</w:t>
      </w:r>
    </w:p>
    <w:p>
      <w:pPr>
        <w:pStyle w:val="Heading2"/>
      </w:pPr>
      <w:r>
        <w:t>4. Диагностика</w:t>
      </w:r>
    </w:p>
    <w:p>
      <w:pPr>
        <w:spacing w:after="80"/>
        <w:ind w:left="340"/>
      </w:pPr>
      <w:r>
        <w:rPr>
          <w:b/>
        </w:rPr>
        <w:t xml:space="preserve">4.1. </w:t>
      </w:r>
      <w:r>
        <w:t>Вибродиагностика воздуходувок доменных печей и приводов конвертеров проводится один раз в квартал.</w:t>
      </w:r>
    </w:p>
    <w:p>
      <w:pPr>
        <w:spacing w:after="80"/>
        <w:ind w:left="340"/>
      </w:pPr>
      <w:r>
        <w:rPr>
          <w:b/>
        </w:rPr>
        <w:t xml:space="preserve">4.2. </w:t>
      </w:r>
      <w:r>
        <w:t>Результаты диагностики не являются основанием для изменения плана ППР без отдельного решения главного инженера.</w:t>
      </w:r>
    </w:p>
    <w:p>
      <w:pPr>
        <w:pStyle w:val="Heading2"/>
      </w:pPr>
      <w:r>
        <w:t>5. Обеспечение запасными частями</w:t>
      </w:r>
    </w:p>
    <w:p>
      <w:pPr>
        <w:spacing w:after="80"/>
        <w:ind w:left="340"/>
      </w:pPr>
      <w:r>
        <w:rPr>
          <w:b/>
        </w:rPr>
        <w:t xml:space="preserve">5.1. </w:t>
      </w:r>
      <w:r>
        <w:t>Потребность в запчастях оформляется заявкой ремонтной службы в службу МТО ремонтов. Закупка проводится через тендерную процедуру; нормативный срок — 45–60 календарных дней.</w:t>
      </w:r>
    </w:p>
    <w:p>
      <w:pPr>
        <w:spacing w:after="80"/>
        <w:ind w:left="340"/>
      </w:pPr>
      <w:r>
        <w:rPr>
          <w:b/>
        </w:rPr>
        <w:t xml:space="preserve">5.2. </w:t>
      </w:r>
      <w:r>
        <w:t>Закупка без тендерной процедуры (аварийная) допускается только по решению управляющего директора «Меридиан Сталь».</w:t>
      </w:r>
    </w:p>
    <w:p>
      <w:pPr>
        <w:spacing w:after="80"/>
        <w:ind w:left="340"/>
      </w:pPr>
      <w:r>
        <w:rPr>
          <w:b/>
        </w:rPr>
        <w:t xml:space="preserve">5.3. </w:t>
      </w:r>
      <w:r>
        <w:t>Эффективность службы МТО ремонтов оценивается по экономии фактических закупок к бюджету.</w:t>
      </w:r>
    </w:p>
    <w:p>
      <w:pPr>
        <w:spacing w:after="80"/>
        <w:ind w:left="340"/>
      </w:pPr>
      <w:r>
        <w:rPr>
          <w:b/>
        </w:rPr>
        <w:t xml:space="preserve">5.4. </w:t>
      </w:r>
      <w:r>
        <w:t>Неснижаемый запас критичных запчастей утверждён в 2021 году и с тех пор не пересматривался.</w:t>
      </w:r>
    </w:p>
    <w:p>
      <w:pPr>
        <w:pStyle w:val="Heading2"/>
      </w:pPr>
      <w:r>
        <w:t>6. Устранение отказов</w:t>
      </w:r>
    </w:p>
    <w:p>
      <w:pPr>
        <w:spacing w:after="80"/>
        <w:ind w:left="340"/>
      </w:pPr>
      <w:r>
        <w:rPr>
          <w:b/>
        </w:rPr>
        <w:t xml:space="preserve">6.1. </w:t>
      </w:r>
      <w:r>
        <w:t>При отказе оборудования аварийно-восстановительные работы выполняет дежурная бригада ремонтной службы.</w:t>
      </w:r>
    </w:p>
    <w:p>
      <w:pPr>
        <w:spacing w:after="80"/>
        <w:ind w:left="340"/>
      </w:pPr>
      <w:r>
        <w:rPr>
          <w:b/>
        </w:rPr>
        <w:t xml:space="preserve">6.2. </w:t>
      </w:r>
      <w:r>
        <w:t>В ночную смену одна дежурная бригада обслуживает доменный и сталеплавильный цеха.</w:t>
      </w:r>
    </w:p>
    <w:p>
      <w:pPr>
        <w:spacing w:after="80"/>
        <w:ind w:left="340"/>
      </w:pPr>
      <w:r>
        <w:rPr>
          <w:b/>
        </w:rPr>
        <w:t xml:space="preserve">6.3. </w:t>
      </w:r>
      <w:r>
        <w:t>Расследование причин отказа с оформлением акта проводится при простое агрегата свыше 24 часов.</w:t>
      </w:r>
    </w:p>
    <w:p>
      <w:pPr>
        <w:pStyle w:val="Heading2"/>
      </w:pPr>
      <w:r>
        <w:t>7. Учёт и отчётность</w:t>
      </w:r>
    </w:p>
    <w:p>
      <w:pPr>
        <w:spacing w:after="80"/>
        <w:ind w:left="340"/>
      </w:pPr>
      <w:r>
        <w:rPr>
          <w:b/>
        </w:rPr>
        <w:t xml:space="preserve">7.1. </w:t>
      </w:r>
      <w:r>
        <w:t>Наряды на выполненные работы закрываются в системе ТОиР до 10-го рабочего дня месяца, следующего за отчётным.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85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85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