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C8C8C"/>
          <w:sz w:val="17"/>
        </w:rPr>
        <w:t>ГК «МЕРИДИАН» · учебный кейс, данные синтетические</w:t>
      </w:r>
    </w:p>
    <w:p>
      <w:pPr>
        <w:pStyle w:val="Heading1"/>
      </w:pPr>
      <w:r>
        <w:t>Регламент терминальных операций и управления вагонным парком</w:t>
      </w:r>
    </w:p>
    <w:p>
      <w:r>
        <w:rPr>
          <w:i/>
          <w:color w:val="58595B"/>
        </w:rPr>
        <w:t>Р-МЛ-03 · «Меридиан Логистик» · Владелец процесса: начальник терминальной сети · Редакция 4 от 15.07.2025</w:t>
      </w:r>
    </w:p>
    <w:p>
      <w:pPr>
        <w:pStyle w:val="Heading2"/>
      </w:pPr>
      <w:r>
        <w:t>1. Цель и область применения</w:t>
      </w:r>
    </w:p>
    <w:p>
      <w:pPr>
        <w:spacing w:after="80"/>
        <w:ind w:left="340"/>
      </w:pPr>
      <w:r>
        <w:rPr>
          <w:b/>
        </w:rPr>
        <w:t xml:space="preserve">1.1. </w:t>
      </w:r>
      <w:r>
        <w:t>Регламент определяет порядок подачи, обработки и отправления вагонов на терминалах «Северный», «Восточный», «Южный» и распределения вагонного парка.</w:t>
      </w:r>
    </w:p>
    <w:p>
      <w:pPr>
        <w:pStyle w:val="Heading2"/>
      </w:pPr>
      <w:r>
        <w:t>2. Участники</w:t>
      </w:r>
    </w:p>
    <w:p>
      <w:pPr>
        <w:spacing w:after="80"/>
        <w:ind w:left="340"/>
      </w:pPr>
      <w:r>
        <w:rPr>
          <w:b/>
        </w:rPr>
        <w:t xml:space="preserve">2.1. </w:t>
      </w:r>
      <w:r>
        <w:t>Терминальная сеть — грузовые операции на терминалах.</w:t>
      </w:r>
    </w:p>
    <w:p>
      <w:pPr>
        <w:spacing w:after="80"/>
        <w:ind w:left="340"/>
      </w:pPr>
      <w:r>
        <w:rPr>
          <w:b/>
        </w:rPr>
        <w:t xml:space="preserve">2.2. </w:t>
      </w:r>
      <w:r>
        <w:t>Центр диспетчерского управления — распределение вагонов и планирование подач.</w:t>
      </w:r>
    </w:p>
    <w:p>
      <w:pPr>
        <w:spacing w:after="80"/>
        <w:ind w:left="340"/>
      </w:pPr>
      <w:r>
        <w:rPr>
          <w:b/>
        </w:rPr>
        <w:t xml:space="preserve">2.3. </w:t>
      </w:r>
      <w:r>
        <w:t>Коммерческая дирекция — договорные условия с клиентами.</w:t>
      </w:r>
    </w:p>
    <w:p>
      <w:pPr>
        <w:pStyle w:val="Heading2"/>
      </w:pPr>
      <w:r>
        <w:t>3. Грузовые операции</w:t>
      </w:r>
    </w:p>
    <w:p>
      <w:pPr>
        <w:spacing w:after="80"/>
        <w:ind w:left="340"/>
      </w:pPr>
      <w:r>
        <w:rPr>
          <w:b/>
        </w:rPr>
        <w:t xml:space="preserve">3.1. </w:t>
      </w:r>
      <w:r>
        <w:t>Подача вагонов на терминал выполняется по графику, согласованному с клиентом.</w:t>
      </w:r>
    </w:p>
    <w:p>
      <w:pPr>
        <w:spacing w:after="80"/>
        <w:ind w:left="340"/>
      </w:pPr>
      <w:r>
        <w:rPr>
          <w:b/>
        </w:rPr>
        <w:t xml:space="preserve">3.2. </w:t>
      </w:r>
      <w:r>
        <w:t>Грузовые операции выполняются в две смены. С 23:00 до 07:00 выполняется только приём вагонов, погрузка и выгрузка не производятся (решение об оптимизации фонда оплаты труда от 20.12.2024).</w:t>
      </w:r>
    </w:p>
    <w:p>
      <w:pPr>
        <w:spacing w:after="80"/>
        <w:ind w:left="340"/>
      </w:pPr>
      <w:r>
        <w:rPr>
          <w:b/>
        </w:rPr>
        <w:t xml:space="preserve">3.3. </w:t>
      </w:r>
      <w:r>
        <w:t>На период расширения терминала «Восточный» (с марта 2026 года) работы ведутся на действующих путях: для грузовых операций доступны 4 пути из 11.</w:t>
      </w:r>
    </w:p>
    <w:p>
      <w:pPr>
        <w:spacing w:after="80"/>
        <w:ind w:left="340"/>
      </w:pPr>
      <w:r>
        <w:rPr>
          <w:b/>
        </w:rPr>
        <w:t xml:space="preserve">3.4. </w:t>
      </w:r>
      <w:r>
        <w:t>При неготовности груза клиента вагон ожидает на путях терминала. Плата за сверхнормативное нахождение вагона клиенту не выставляется (политика лояльности, решение коммерческого директора от 15.01.2025).</w:t>
      </w:r>
    </w:p>
    <w:p>
      <w:pPr>
        <w:spacing w:after="80"/>
        <w:ind w:left="340"/>
      </w:pPr>
      <w:r>
        <w:rPr>
          <w:b/>
        </w:rPr>
        <w:t xml:space="preserve">3.5. </w:t>
      </w:r>
      <w:r>
        <w:t>Время нахождения вагона на путях учитывается в АСУ терминалов от прибытия до отправления.</w:t>
      </w:r>
    </w:p>
    <w:p>
      <w:pPr>
        <w:pStyle w:val="Heading2"/>
      </w:pPr>
      <w:r>
        <w:t>4. Показатели качества сервиса</w:t>
      </w:r>
    </w:p>
    <w:p>
      <w:pPr>
        <w:spacing w:after="80"/>
        <w:ind w:left="340"/>
      </w:pPr>
      <w:r>
        <w:rPr>
          <w:b/>
        </w:rPr>
        <w:t xml:space="preserve">4.1. </w:t>
      </w:r>
      <w:r>
        <w:t>Своевременность доставки измеряется показателем OTIF. С 01.07.2025 применяется версия методики 2: доставка считается своевременной при отклонении от плановой даты не более ±2 суток (ранее — без допуска). Основание: приказ коммерческого директора № 47 «О приведении методики OTIF к отраслевой практике».</w:t>
      </w:r>
    </w:p>
    <w:p>
      <w:pPr>
        <w:spacing w:after="80"/>
        <w:ind w:left="340"/>
      </w:pPr>
      <w:r>
        <w:rPr>
          <w:b/>
        </w:rPr>
        <w:t xml:space="preserve">4.2. </w:t>
      </w:r>
      <w:r>
        <w:t>Пересчёт значений OTIF за периоды до 01.07.2025 по версии 2 не предусмотрен.</w:t>
      </w:r>
    </w:p>
    <w:p>
      <w:pPr>
        <w:pStyle w:val="Heading2"/>
      </w:pPr>
      <w:r>
        <w:t>5. Распределение вагонного парка</w:t>
      </w:r>
    </w:p>
    <w:p>
      <w:pPr>
        <w:spacing w:after="80"/>
        <w:ind w:left="340"/>
      </w:pPr>
      <w:r>
        <w:rPr>
          <w:b/>
        </w:rPr>
        <w:t xml:space="preserve">5.1. </w:t>
      </w:r>
      <w:r>
        <w:t>Центр диспетчерского управления распределяет вагоны с приоритетом выполнения суточного плана погрузки.</w:t>
      </w:r>
    </w:p>
    <w:p>
      <w:pPr>
        <w:spacing w:after="80"/>
        <w:ind w:left="340"/>
      </w:pPr>
      <w:r>
        <w:rPr>
          <w:b/>
        </w:rPr>
        <w:t xml:space="preserve">5.2. </w:t>
      </w:r>
      <w:r>
        <w:t>Возврат порожних вагонов к местам погрузки планируется по остаточному принципу после распределения гружёных.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859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85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