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64D8"/>
          <w:sz w:val="44"/>
        </w:rPr>
        <w:t>百度网盘互动营销玩法落地方案</w:t>
      </w:r>
    </w:p>
    <w:p>
      <w:pPr>
        <w:jc w:val="center"/>
      </w:pPr>
      <w:r>
        <w:rPr>
          <w:color w:val="666666"/>
          <w:sz w:val="24"/>
        </w:rPr>
        <w:t>玩法选型｜玩法效果图｜奖励设计｜收入成本测算｜开发接入评估</w:t>
      </w:r>
    </w:p>
    <w:p>
      <w:pPr>
        <w:pStyle w:val="Heading1"/>
      </w:pPr>
      <w:r>
        <w:t>项目基础假设</w:t>
      </w:r>
    </w:p>
    <w:p>
      <w:pPr>
        <w:pStyle w:val="ListBullet"/>
      </w:pPr>
      <w:r>
        <w:t>目标：提升百度网盘广告收入，通过轻互动玩法提升用户停留、下滑浏览和主动广告触发。</w:t>
      </w:r>
    </w:p>
    <w:p>
      <w:pPr>
        <w:pStyle w:val="ListBullet"/>
      </w:pPr>
      <w:r>
        <w:t>目标用户：主要面向非网盘会员用户，会员用户可展示但本次测算不考虑会员商城收入。</w:t>
      </w:r>
    </w:p>
    <w:p>
      <w:pPr>
        <w:pStyle w:val="ListBullet"/>
      </w:pPr>
      <w:r>
        <w:t>入口场景：百度网盘「我的」页面固定 icon 入口。</w:t>
      </w:r>
    </w:p>
    <w:p>
      <w:pPr>
        <w:pStyle w:val="ListBullet"/>
      </w:pPr>
      <w:r>
        <w:t>流量口径：我的页面 DAU 200万+，活动 icon 点击率预估 10%，活动页访问 UV 约 20万+/日。</w:t>
      </w:r>
    </w:p>
    <w:p>
      <w:pPr>
        <w:pStyle w:val="ListBullet"/>
      </w:pPr>
      <w:r>
        <w:t>广告口径：人均广告次数 5–8 次，eCPM 均值 80 元，广告完成率 60%。</w:t>
      </w:r>
    </w:p>
    <w:p>
      <w:pPr>
        <w:pStyle w:val="ListBullet"/>
      </w:pPr>
      <w:r>
        <w:t>广告接入：接入穿山甲商城页，推荐商城频道信息流/瀑布流 + 激励任务。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当前假设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计算/说明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我的页面 DAU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200万+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入口曝光基础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icon 点击率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活动页访问 UV = 200万+ × 10% = 20万+/日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人均广告次数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5–8次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以活动页访问用户为基数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eCPM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80元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按均值测算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广告完成率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60%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有效广告次数折算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会员商城收入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不考虑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本版收入只计广告收入</w:t>
            </w:r>
          </w:p>
        </w:tc>
      </w:tr>
    </w:tbl>
    <w:p/>
    <w:p>
      <w:pPr>
        <w:pStyle w:val="Heading1"/>
      </w:pPr>
      <w:r>
        <w:t>1、玩法选型分析</w:t>
      </w:r>
    </w:p>
    <w:p>
      <w:r>
        <w:t>玩法选型原则：不做抽奖、不做分享裂变，采用确定性任务进度与网盘权益激励，将互动玩法作为广告浏览和主动广告触发的前置动机。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玩法方向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玩法机制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用户价值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商业化价值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推荐结论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拼图闯关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用户完成任务点亮拼图碎片，集齐后兑换权益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理解成本低、反馈明确、适合每日参与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天然承接“下滑浏览/看广告加速”任务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主推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答题挑战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完成 3–5 道轻量题目获得点亮机会或进度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可结合网盘技巧/生活知识，低开发成本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可嵌入广告商品/消费场景题目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备选主玩法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找方块/找不同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在页面或商品流中寻找指定元素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趣味性强，提升页面停留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引导用户浏览更多广告内容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辅助玩法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广告加速任务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看广告或浏览商城达到时长后加速点亮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用户明确知道收益来源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直接提升广告触发率和广告完成率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必要机制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推荐玩法结构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顶部主视觉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突出“拼图赢网盘权益/下载加速挑战”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玩法 Tab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拼图闯关、答题挑战、领权益/找方块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中央拼图区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4块或6块拼图，显示点亮进度与关卡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主按钮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开始点亮拼图 / 看广告加速点亮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下滑引导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提示下滑浏览商城内容获得更多权益进度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广告瀑布流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承接穿山甲商城频道双列商品流</w:t>
            </w:r>
          </w:p>
        </w:tc>
      </w:tr>
    </w:tbl>
    <w:p/>
    <w:p>
      <w:pPr>
        <w:pStyle w:val="Heading2"/>
      </w:pPr>
      <w:r>
        <w:t>玩法对应效果图</w:t>
      </w:r>
    </w:p>
    <w:p>
      <w:r>
        <w:t>效果图1：拼图闯关玩法</w:t>
      </w:r>
    </w:p>
    <w:p>
      <w:r>
        <w:drawing>
          <wp:inline xmlns:a="http://schemas.openxmlformats.org/drawingml/2006/main" xmlns:pic="http://schemas.openxmlformats.org/drawingml/2006/picture">
            <wp:extent cx="2834640" cy="5078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_puzzle_eff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效果图2：答题挑战玩法</w:t>
      </w:r>
    </w:p>
    <w:p>
      <w:r>
        <w:drawing>
          <wp:inline xmlns:a="http://schemas.openxmlformats.org/drawingml/2006/main" xmlns:pic="http://schemas.openxmlformats.org/drawingml/2006/picture">
            <wp:extent cx="2834640" cy="50787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_quiz_eff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效果图3：广告加速任务</w:t>
      </w:r>
    </w:p>
    <w:p>
      <w:r>
        <w:drawing>
          <wp:inline xmlns:a="http://schemas.openxmlformats.org/drawingml/2006/main" xmlns:pic="http://schemas.openxmlformats.org/drawingml/2006/picture">
            <wp:extent cx="2834640" cy="50787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_ad_boost_eff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1"/>
        </w:rPr>
        <w:t>效果图4：找方块/找不同玩法</w:t>
      </w:r>
    </w:p>
    <w:p>
      <w:r>
        <w:drawing>
          <wp:inline xmlns:a="http://schemas.openxmlformats.org/drawingml/2006/main" xmlns:pic="http://schemas.openxmlformats.org/drawingml/2006/picture">
            <wp:extent cx="2834640" cy="50787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_find_blocks_effe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页面结构参考图</w:t>
      </w:r>
    </w:p>
    <w:p>
      <w:r>
        <w:t>参考A：百度网盘品牌风</w:t>
      </w:r>
    </w:p>
    <w:p>
      <w:r>
        <w:drawing>
          <wp:inline xmlns:a="http://schemas.openxmlformats.org/drawingml/2006/main" xmlns:pic="http://schemas.openxmlformats.org/drawingml/2006/picture">
            <wp:extent cx="2834640" cy="50787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structure_bra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参考B：营销游戏风</w:t>
      </w:r>
    </w:p>
    <w:p>
      <w:r>
        <w:drawing>
          <wp:inline xmlns:a="http://schemas.openxmlformats.org/drawingml/2006/main" xmlns:pic="http://schemas.openxmlformats.org/drawingml/2006/picture">
            <wp:extent cx="2834640" cy="50787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structure_g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参考C：红包机/电商导购风</w:t>
      </w:r>
    </w:p>
    <w:p>
      <w:r>
        <w:drawing>
          <wp:inline xmlns:a="http://schemas.openxmlformats.org/drawingml/2006/main" xmlns:pic="http://schemas.openxmlformats.org/drawingml/2006/picture">
            <wp:extent cx="2834640" cy="50787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structure_ma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2、游戏奖励设计</w:t>
      </w:r>
    </w:p>
    <w:p>
      <w:r>
        <w:t>奖励设计采用“低价值高频 + 中价值广告加速 + 高价值周期控量”的结构，避免抽奖概率表达，强化确定性进度兑换。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奖励层级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奖励内容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触发条件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发放策略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适用用户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基础奖励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1分钟下载券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完成每日拼图/答题任务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高频发放，单用户每日限领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非会员优先，会员可发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加速奖励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5分钟下载券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完成主动广告任务或商城浏览时长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与广告完成强绑定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非会员优先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阶段奖励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1小时SVIP体验券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累计点亮完整拼图/连续多日参与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按日/周库存控量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非会员重点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高阶奖励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24小时SVIP体验券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完成周期任务或高广告贡献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严格限量，避免成本失控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非会员重点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会员替代奖励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下载券/空间权益/积分/优惠券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会员用户完成任务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替换SVIP体验券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会员用户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权益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发放用户占比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日发放量（按20万UV）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单价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日成本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24小时SVIP券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20,000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10.00元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200,000元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1小时SVIP券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30%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60,000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2.00元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120,000元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1分钟下载券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30%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60,000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0.20元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12,000元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5分钟下载券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30%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60,000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0.80元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48,000元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合计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100%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200,000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380,000元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奖励公式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计算方式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单项权益成本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单项权益发放量 × 单项权益成本单价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总权益成本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∑ 各权益发放量 × 各权益成本单价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日发放量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活动页 UV × 对应权益发放用户占比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库存上限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预计发放量 × 安全系数（建议 1.1–1.3）</w:t>
            </w:r>
          </w:p>
        </w:tc>
      </w:tr>
    </w:tbl>
    <w:p/>
    <w:p>
      <w:pPr>
        <w:pStyle w:val="Heading1"/>
      </w:pPr>
      <w:r>
        <w:t>3、游戏收入&amp;成本预估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指标/公式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计算方式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当前估算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活动页访问 UV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我的页面 DAU × icon 点击率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200万+ × 10% = 20万+/日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有效广告次数低值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活动页 UV × 人均广告次数低值 × 完成率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20万 × 5 × 60% = 600,000次/日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有效广告次数高值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活动页 UV × 人均广告次数高值 × 完成率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20万 × 8 × 60% = 960,000次/日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广告收入低值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有效广告次数 × eCPM / 1000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600,000 × 80 / 1000 = 48,000元/日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广告收入高值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有效广告次数 × eCPM / 1000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960,000 × 80 / 1000 = 76,800元/日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权益成本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∑ 各权益发放量 × 权益成本单价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380,000元/日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日净收益低值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广告收入低值 - 权益成本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-332,000元/日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日净收益高值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广告收入高值 - 权益成本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-303,200元/日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测算结论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广告收入区间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48,000–76,800元/日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权益成本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380,000元/日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测算结果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按当前发券比例，日净收益约 -332,000 至 -303,200 元，权益成本明显高于广告收入。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优化建议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需降低高价值SVIP券发放比例，或将SVIP发放改为周期任务/库存限量/广告高贡献用户专享。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成本项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说明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成本口径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权益成本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下载券、SVIP体验券等权益发放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按发放量 × 单价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广告接入成本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穿山甲 SDK、商城频道、激励任务联调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按研发人日估算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研发成本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前端、服务端、客户端、测试投入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按人日/人月估算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运营成本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活动配置、素材更新、数据复盘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按月或按活动周期估算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风控成本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频控、防刷、异常领取拦截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按能力复用程度估算</w:t>
            </w:r>
          </w:p>
        </w:tc>
      </w:tr>
    </w:tbl>
    <w:p/>
    <w:p>
      <w:pPr>
        <w:pStyle w:val="Heading1"/>
      </w:pPr>
      <w:r>
        <w:t>4、开发成本</w:t>
      </w:r>
    </w:p>
    <w:p>
      <w:pPr>
        <w:pStyle w:val="Heading2"/>
      </w:pPr>
      <w:r>
        <w:t>4.1 接入方案</w:t>
      </w:r>
    </w:p>
    <w:p>
      <w:pPr>
        <w:pStyle w:val="ListBullet"/>
      </w:pPr>
      <w:r>
        <w:t>广告平台：接入穿山甲商城页广告内容。</w:t>
      </w:r>
    </w:p>
    <w:p>
      <w:pPr>
        <w:pStyle w:val="ListBullet"/>
      </w:pPr>
      <w:r>
        <w:t>推荐形态：商城频道信息流/瀑布流，用于页面下半屏商品流承接。</w:t>
      </w:r>
    </w:p>
    <w:p>
      <w:pPr>
        <w:pStyle w:val="ListBullet"/>
      </w:pPr>
      <w:r>
        <w:t>主动广告：接入激励任务/激励视频，用于“看广告加速点亮拼图”。</w:t>
      </w:r>
    </w:p>
    <w:p>
      <w:pPr>
        <w:pStyle w:val="ListBullet"/>
      </w:pPr>
      <w:r>
        <w:t>SDK 要求：穿山甲 SDK 6500+；iOS 商城频道示例要求 6405+，可见性适配建议 7.1.0.0+。</w:t>
      </w:r>
    </w:p>
    <w:p>
      <w:pPr>
        <w:pStyle w:val="ListBullet"/>
      </w:pPr>
      <w:r>
        <w:t>广告位配置：商城频道申请信息流广告位，渲染方式选择自渲染；奖励场景申请激励视频；不发奖励可申请新插屏广告-全屏。</w:t>
      </w:r>
    </w:p>
    <w:p>
      <w:pPr>
        <w:pStyle w:val="ListBullet"/>
      </w:pPr>
      <w:r>
        <w:t>价格配置：Gromore 可用但需配置无底价；竞价类型必须为标准且不设置期望 CPM，否则不予结算。</w:t>
      </w:r>
    </w:p>
    <w:p>
      <w:pPr>
        <w:pStyle w:val="ListBullet"/>
      </w:pPr>
      <w:r>
        <w:t>奖励回调：通过 userData 透传 ec_reward_gold 和 ec_reward_duration，满足浏览时长后回调奖励，映射为下载券或SVIP体验进度。</w:t>
      </w:r>
    </w:p>
    <w:p>
      <w:pPr>
        <w:pStyle w:val="ListBullet"/>
      </w:pPr>
      <w:r>
        <w:t>数据限制：商城页当前只有曝光回调，没有点击回调，方案中收入与埋点不应依赖点击回调。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接入模块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接入内容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工作量判断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商城频道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下半屏商品瀑布流/信息流容器、自渲染广告 view、兜底页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中-高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激励任务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主动广告入口、广告完成回调、权益发放联动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奖励系统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权益库存、领取限制、发放记录、会员差异化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数据埋点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入口点击、页面访问、玩法完成、广告曝光、奖励回调、发券结果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风控频控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账号/设备/IP/领取次数限制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</w:t>
            </w:r>
          </w:p>
        </w:tc>
      </w:tr>
    </w:tbl>
    <w:p/>
    <w:p>
      <w:pPr>
        <w:pStyle w:val="Heading2"/>
      </w:pPr>
      <w:r>
        <w:t>4.2 开发时间粗略估计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模块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工作内容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MVP预估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完整版本预估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需求评审与方案细化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玩法规则、奖励规则、广告接入规则、埋点口径确认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2–3人日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3–5人日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页面前端开发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活动首页、拼图区、任务区、奖励进度、瀑布流容器、规则/记录入口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6–8人日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10–14人日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拼图/答题玩法开发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拼图点亮、任务状态、次数控制、进度推进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4–6人日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8–12人日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奖励系统接入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下载券/SVIP体验券领取、库存校验、发放记录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4–6人日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8–12人日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穿山甲广告接入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商城频道信息流、自渲染容器、激励任务、曝光/奖励回调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6–8人日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10–15人日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服务端接口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用户状态、任务进度、奖励记录、风控基础校验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5–7人日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10–14人日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数据埋点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核心链路与收益相关埋点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2–3人日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5–8人日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测试与联调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前后端、广告、权益、兼容性、灰度验证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5–7人日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8–12人日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上线准备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灰度、监控、兜底、运营配置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2–3人日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4–6人日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版本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总人力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自然周期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适用范围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MVP版本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约36–51人日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约3–4周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拼图主玩法 + 商城瀑布流 + 主动广告加速 + 基础奖励发放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完整运营版本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约66–98人日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约5–7周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多玩法、多权益、会员差异化、运营后台、A/B测试、风控增强</w:t>
            </w:r>
          </w:p>
        </w:tc>
      </w:tr>
    </w:tbl>
    <w:p/>
    <w:p>
      <w:pPr>
        <w:pStyle w:val="Heading2"/>
      </w:pPr>
      <w:r>
        <w:t>4.3 建议排期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周期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重点工作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产出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第1周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需求冻结、视觉定稿、技术方案、广告位申请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PRD/交互稿/视觉稿/技术方案/广告位配置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第2周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页面开发、拼图玩法、服务端任务进度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可交互活动页与基础任务链路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第3周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奖励发放、穿山甲商城频道/激励任务接入、埋点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广告与权益闭环链路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第4周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联调测试、灰度上线、监控和问题修复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MVP灰度上线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第5周后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运营后台、A/B测试、会员差异化、风控增强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长期运营能力</w:t>
            </w:r>
          </w:p>
        </w:tc>
      </w:tr>
    </w:tbl>
    <w:p/>
    <w:p>
      <w:pPr>
        <w:pStyle w:val="Heading1"/>
      </w:pPr>
      <w:r>
        <w:t>风格参考图</w:t>
      </w:r>
    </w:p>
    <w:p>
      <w:r>
        <w:t>以下三张为按参考图结构重绘的风格方向，可用于评估最终视觉方向。</w:t>
      </w:r>
    </w:p>
    <w:p>
      <w:r>
        <w:t>风格A：百度网盘品牌风</w:t>
      </w:r>
    </w:p>
    <w:p>
      <w:r>
        <w:drawing>
          <wp:inline xmlns:a="http://schemas.openxmlformats.org/drawingml/2006/main" xmlns:pic="http://schemas.openxmlformats.org/drawingml/2006/picture">
            <wp:extent cx="2834640" cy="50787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structure_bra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风格B：营销游戏风</w:t>
      </w:r>
    </w:p>
    <w:p>
      <w:r>
        <w:drawing>
          <wp:inline xmlns:a="http://schemas.openxmlformats.org/drawingml/2006/main" xmlns:pic="http://schemas.openxmlformats.org/drawingml/2006/picture">
            <wp:extent cx="2834640" cy="50787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structure_g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风格C：红包机/电商导购风</w:t>
      </w:r>
    </w:p>
    <w:p>
      <w:r>
        <w:drawing>
          <wp:inline xmlns:a="http://schemas.openxmlformats.org/drawingml/2006/main" xmlns:pic="http://schemas.openxmlformats.org/drawingml/2006/picture">
            <wp:extent cx="2834640" cy="50787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structure_ma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待补充材料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材料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用途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优先级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商城频道真实 ARPU / 激励广告真实 eCPM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校准广告收入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权益实际库存上限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控制权益成本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权益发放策略调整方案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降低SVIP券成本占比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研发/设计/运营/服务端成本单价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测算开发成本与净收益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会员用户奖励替代权益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完善会员差异化策略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合规与隐私审核要求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确认广告标识、奖励规则、隐私授权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高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