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06D" w:rsidRDefault="00000000">
      <w:pPr>
        <w:jc w:val="center"/>
        <w:rPr>
          <w:lang w:eastAsia="zh-CN"/>
        </w:rPr>
      </w:pPr>
      <w:r>
        <w:rPr>
          <w:b/>
          <w:color w:val="1B64D8"/>
          <w:sz w:val="44"/>
          <w:lang w:eastAsia="zh-CN"/>
        </w:rPr>
        <w:t>百度网盘互动营销玩法落地方案</w:t>
      </w:r>
    </w:p>
    <w:p w:rsidR="0088306D" w:rsidRDefault="00000000">
      <w:pPr>
        <w:jc w:val="center"/>
        <w:rPr>
          <w:lang w:eastAsia="zh-CN"/>
        </w:rPr>
      </w:pPr>
      <w:r>
        <w:rPr>
          <w:color w:val="666666"/>
          <w:sz w:val="24"/>
          <w:lang w:eastAsia="zh-CN"/>
        </w:rPr>
        <w:t>玩法选型｜玩法效果图｜奖励设计｜收入成本｜开发接入评估</w:t>
      </w:r>
    </w:p>
    <w:p w:rsidR="0088306D" w:rsidRDefault="00000000">
      <w:pPr>
        <w:pStyle w:val="1"/>
      </w:pPr>
      <w:proofErr w:type="spellStart"/>
      <w:r>
        <w:t>项目基础假设</w:t>
      </w:r>
      <w:proofErr w:type="spellEnd"/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目标：提升百度网盘广告收入，通过轻互动玩法提升用户停留、下滑浏览和主动广告触发。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目标用户：主要面向非网盘会员用户，会员用户可展示但奖励内容需差异化。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入口场景：百度网盘「我的」页面固定 icon 入口。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流量口径：我的页面 DAU 200万+，活动 icon 点击率预估 10%，活动页访问 UV 约 20万+/日。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广告触发率：主动广告触发率预估 30%–40%，主动广告触发用户约 6–8万+/日。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广告接入：接入穿山甲商城页，推荐商城频道信息流/瀑布流 + 激励任务。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proofErr w:type="spellStart"/>
            <w:r>
              <w:rPr>
                <w:b/>
                <w:sz w:val="19"/>
              </w:rPr>
              <w:t>指标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当前假设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计算/说明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我的页面 DAU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200万+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入口曝光基础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icon 点击率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10%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活动页访问 UV = 200万+ × 10% = 20万+/日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主动广告触发率</w:t>
            </w:r>
            <w:proofErr w:type="spellEnd"/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30%–40%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主动广告触发用户 = 20万+ × 30%–40% = 6–8万+/日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活动周期</w:t>
            </w:r>
            <w:proofErr w:type="spellEnd"/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长期在线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按常态化运营设计</w:t>
            </w:r>
          </w:p>
        </w:tc>
      </w:tr>
    </w:tbl>
    <w:p w:rsidR="0088306D" w:rsidRDefault="0088306D"/>
    <w:p w:rsidR="0088306D" w:rsidRDefault="00000000">
      <w:pPr>
        <w:pStyle w:val="1"/>
      </w:pPr>
      <w:r>
        <w:t>1</w:t>
      </w:r>
      <w:r>
        <w:t>、玩法选型分析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玩法选型原则：不做抽奖、不做分享裂变，采用确定性任务进度与网盘权益激励，将互动玩法作为广告浏览和主动广告触发的前置动机。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8306D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proofErr w:type="spellStart"/>
            <w:r>
              <w:rPr>
                <w:b/>
                <w:sz w:val="19"/>
              </w:rPr>
              <w:t>玩法方向</w:t>
            </w:r>
            <w:proofErr w:type="spellEnd"/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玩法机制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用户价值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商业化价值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推荐结论</w:t>
            </w:r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拼图闯关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用户完成任务点亮拼图碎片，集齐后兑换权益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理解成本低、反馈明确、适合每日参与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天然承接“下滑浏览/看广告加速”任务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主推</w:t>
            </w:r>
            <w:proofErr w:type="spellEnd"/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答题挑战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 3–5 道轻量题目获得点亮机会或进度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可结合网盘技巧/生活知识，低开发成本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可嵌入广告商品/消费场景题目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备选主玩法</w:t>
            </w:r>
            <w:proofErr w:type="spellEnd"/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找方块/找不同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在页面或商品流中寻找指定元素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趣味性强，提升页面停留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引导用户浏览更多广告内容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辅助玩法</w:t>
            </w:r>
            <w:proofErr w:type="spellEnd"/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lastRenderedPageBreak/>
              <w:t>广告加速任务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看广告或浏览商城达到时长后加速点亮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用户明确知道收益来源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直接提升广告触发率和广告完成率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必要机制</w:t>
            </w:r>
            <w:proofErr w:type="spellEnd"/>
          </w:p>
        </w:tc>
      </w:tr>
    </w:tbl>
    <w:p w:rsidR="0088306D" w:rsidRDefault="0088306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306D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推荐玩法结构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说明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r>
              <w:rPr>
                <w:sz w:val="19"/>
              </w:rPr>
              <w:t>顶部主视觉</w:t>
            </w:r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突出“拼图赢网盘权益/下载加速挑战”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玩法</w:t>
            </w:r>
            <w:proofErr w:type="spellEnd"/>
            <w:r>
              <w:rPr>
                <w:sz w:val="19"/>
              </w:rPr>
              <w:t xml:space="preserve"> Tab</w:t>
            </w:r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拼图闯关、答题挑战、领权益/找方块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中央拼图区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4块或6块拼图，显示点亮进度与关卡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主按钮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开始点亮拼图 / 看广告加速点亮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下滑引导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提示下滑浏览商城内容获得更多权益进度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广告瀑布流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承接穿山甲商城频道双列商品流</w:t>
            </w:r>
          </w:p>
        </w:tc>
      </w:tr>
    </w:tbl>
    <w:p w:rsidR="0088306D" w:rsidRDefault="0088306D">
      <w:pPr>
        <w:rPr>
          <w:lang w:eastAsia="zh-CN"/>
        </w:rPr>
      </w:pPr>
    </w:p>
    <w:p w:rsidR="0088306D" w:rsidRDefault="00000000">
      <w:pPr>
        <w:pStyle w:val="21"/>
        <w:rPr>
          <w:lang w:eastAsia="zh-CN"/>
        </w:rPr>
      </w:pPr>
      <w:r>
        <w:rPr>
          <w:lang w:eastAsia="zh-CN"/>
        </w:rPr>
        <w:t>玩法对应效果图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效果图1：拼图闯关玩法</w:t>
      </w:r>
    </w:p>
    <w:p w:rsidR="0088306D" w:rsidRDefault="00000000">
      <w:r>
        <w:rPr>
          <w:noProof/>
        </w:rPr>
        <w:drawing>
          <wp:inline distT="0" distB="0" distL="0" distR="0">
            <wp:extent cx="2834640" cy="5078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puzzle_effe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r>
        <w:lastRenderedPageBreak/>
        <w:t>效果图2：答题挑战玩法</w:t>
      </w:r>
    </w:p>
    <w:p w:rsidR="0088306D" w:rsidRDefault="00000000">
      <w:r>
        <w:rPr>
          <w:noProof/>
        </w:rPr>
        <w:drawing>
          <wp:inline distT="0" distB="0" distL="0" distR="0">
            <wp:extent cx="2834640" cy="5078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quiz_effec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r>
        <w:t>效果图3：广告加速任务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ad_boost_effe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pPr>
        <w:pStyle w:val="21"/>
        <w:rPr>
          <w:lang w:eastAsia="zh-CN"/>
        </w:rPr>
      </w:pPr>
      <w:r>
        <w:rPr>
          <w:lang w:eastAsia="zh-CN"/>
        </w:rPr>
        <w:t>页面结构参考图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参考A：百度网盘品牌风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br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r>
        <w:t>参考B：营销游戏风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g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pPr>
        <w:rPr>
          <w:lang w:eastAsia="zh-CN"/>
        </w:rPr>
      </w:pPr>
      <w:r>
        <w:rPr>
          <w:lang w:eastAsia="zh-CN"/>
        </w:rPr>
        <w:t>参考C：红包机/电商导购风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m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、游戏奖励设计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奖励设计采用“低价值高频 + 中价值广告加速 + 高价值周期控量”的结构，避免抽奖概率表达，强化确定性进度兑换。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88306D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proofErr w:type="spellStart"/>
            <w:r>
              <w:rPr>
                <w:b/>
                <w:sz w:val="19"/>
              </w:rPr>
              <w:t>奖励层级</w:t>
            </w:r>
            <w:proofErr w:type="spellEnd"/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奖励内容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触发条件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发放策略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适用用户</w:t>
            </w:r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基础奖励</w:t>
            </w:r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1分钟下载券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完成每日拼图/答题任务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高频发放，单用户每日限领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非会员优先，会员可发</w:t>
            </w:r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加速奖励</w:t>
            </w:r>
            <w:proofErr w:type="spellEnd"/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5分钟下载券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完成主动广告任务或商城浏览时长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与广告完成强绑定</w:t>
            </w:r>
            <w:proofErr w:type="spellEnd"/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非会员优先</w:t>
            </w:r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阶段奖励</w:t>
            </w:r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1小时SVIP体验券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累计点亮完整拼图/连续多日参与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按日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周库存控量</w:t>
            </w:r>
            <w:proofErr w:type="spellEnd"/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非会员重点</w:t>
            </w:r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高阶奖励</w:t>
            </w:r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24小时SVIP体验券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完成周期任务或高广告贡献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严格限量，避免成本失控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非会员重点</w:t>
            </w:r>
            <w:proofErr w:type="spellEnd"/>
          </w:p>
        </w:tc>
      </w:tr>
      <w:tr w:rsidR="0088306D">
        <w:trPr>
          <w:jc w:val="center"/>
        </w:trPr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会员替代奖励</w:t>
            </w:r>
          </w:p>
        </w:tc>
        <w:tc>
          <w:tcPr>
            <w:tcW w:w="2045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下载券/空间权益/积</w:t>
            </w:r>
            <w:r>
              <w:rPr>
                <w:sz w:val="19"/>
                <w:lang w:eastAsia="zh-CN"/>
              </w:rPr>
              <w:lastRenderedPageBreak/>
              <w:t>分/优惠券</w:t>
            </w:r>
          </w:p>
        </w:tc>
        <w:tc>
          <w:tcPr>
            <w:tcW w:w="2045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lastRenderedPageBreak/>
              <w:t>会员用户完成任务</w:t>
            </w:r>
            <w:proofErr w:type="spellEnd"/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替换SVIP体验券</w:t>
            </w:r>
          </w:p>
        </w:tc>
        <w:tc>
          <w:tcPr>
            <w:tcW w:w="2045" w:type="dxa"/>
            <w:vAlign w:val="center"/>
          </w:tcPr>
          <w:p w:rsidR="0088306D" w:rsidRDefault="00000000">
            <w:r>
              <w:rPr>
                <w:sz w:val="19"/>
              </w:rPr>
              <w:t>会员用户</w:t>
            </w:r>
          </w:p>
        </w:tc>
      </w:tr>
    </w:tbl>
    <w:p w:rsidR="0088306D" w:rsidRDefault="0088306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8306D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奖励公式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计算方式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r>
              <w:rPr>
                <w:sz w:val="19"/>
              </w:rPr>
              <w:t>单项权益成本</w:t>
            </w:r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单项权益发放量 × 单项权益成本单价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总权益成本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∑ 各权益发放量 × 各权益成本单价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日发放量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活动页 UV × 玩法参与率 × 任务完成率 × 权益领取率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广告奖励发放量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活动页 UV × 主动广告触发率 × 广告完成率 × 奖励领取率</w:t>
            </w:r>
          </w:p>
        </w:tc>
      </w:tr>
      <w:tr w:rsidR="0088306D">
        <w:trPr>
          <w:jc w:val="center"/>
        </w:trPr>
        <w:tc>
          <w:tcPr>
            <w:tcW w:w="5112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库存上限</w:t>
            </w:r>
            <w:proofErr w:type="spellEnd"/>
          </w:p>
        </w:tc>
        <w:tc>
          <w:tcPr>
            <w:tcW w:w="5112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预计发放量 × 安全系数（建议 1.1–1.3）</w:t>
            </w:r>
          </w:p>
        </w:tc>
      </w:tr>
    </w:tbl>
    <w:p w:rsidR="0088306D" w:rsidRDefault="0088306D">
      <w:pPr>
        <w:rPr>
          <w:lang w:eastAsia="zh-CN"/>
        </w:rPr>
      </w:pPr>
    </w:p>
    <w:p w:rsidR="0088306D" w:rsidRDefault="00000000">
      <w:pPr>
        <w:pStyle w:val="1"/>
      </w:pPr>
      <w:r>
        <w:t>3</w:t>
      </w:r>
      <w:r>
        <w:t>、游戏收入</w:t>
      </w:r>
      <w:r>
        <w:t>&amp;</w:t>
      </w:r>
      <w:r>
        <w:t>成本预估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指标/公式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计算方式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当前估算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活动页访问 UV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我的页面 DAU × icon 点击率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200万+ × 10% = 20万+/日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主动广告触发用户数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活动页访问 UV × 主动广告触发率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20万+ × 30%–40% = 6–8万+/日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激励广告收入</w:t>
            </w:r>
            <w:proofErr w:type="spellEnd"/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激励广告完成次数 × 激励广告 </w:t>
            </w:r>
            <w:proofErr w:type="spellStart"/>
            <w:r>
              <w:rPr>
                <w:sz w:val="19"/>
                <w:lang w:eastAsia="zh-CN"/>
              </w:rPr>
              <w:t>eCPM</w:t>
            </w:r>
            <w:proofErr w:type="spellEnd"/>
            <w:r>
              <w:rPr>
                <w:sz w:val="19"/>
                <w:lang w:eastAsia="zh-CN"/>
              </w:rPr>
              <w:t xml:space="preserve"> / 1000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待补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eCPM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完成率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总广告收入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商城频道收入 + 激励广告收入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待代入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权益成本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∑ 各权益发放量 × 权益成本单价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待补成本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库存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项目净收益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总广告收入 - 权益成本 - 开发/运营/服务成本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待代入</w:t>
            </w:r>
            <w:proofErr w:type="spellEnd"/>
          </w:p>
        </w:tc>
      </w:tr>
    </w:tbl>
    <w:p w:rsidR="0088306D" w:rsidRDefault="0088306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成本项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说明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成本口径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权益成本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下载券、SVIP体验券等权益发放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按发放量</w:t>
            </w:r>
            <w:proofErr w:type="spellEnd"/>
            <w:r>
              <w:rPr>
                <w:sz w:val="19"/>
              </w:rPr>
              <w:t xml:space="preserve"> × </w:t>
            </w:r>
            <w:proofErr w:type="spellStart"/>
            <w:r>
              <w:rPr>
                <w:sz w:val="19"/>
              </w:rPr>
              <w:t>单价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广告接入成本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穿山甲 SDK、商城频道、激励任务联调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按研发人日估算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研发成本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前端、服务端、客户端、测试投入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按人日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人月估算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运营成本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活动配置、素材更新、数据复盘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按月或按活动周期估算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风控成本</w:t>
            </w:r>
            <w:proofErr w:type="spellEnd"/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频控、防刷、异常领取拦截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按能力复用程度估算</w:t>
            </w:r>
            <w:proofErr w:type="spellEnd"/>
          </w:p>
        </w:tc>
      </w:tr>
    </w:tbl>
    <w:p w:rsidR="0088306D" w:rsidRDefault="0088306D"/>
    <w:p w:rsidR="0088306D" w:rsidRDefault="00000000">
      <w:pPr>
        <w:rPr>
          <w:lang w:eastAsia="zh-CN"/>
        </w:rPr>
      </w:pPr>
      <w:r>
        <w:rPr>
          <w:lang w:eastAsia="zh-CN"/>
        </w:rPr>
        <w:t>穿山甲文档参考：商城页收入口径为“商城页收入 = DAU × ARPU”；案例中 CPM 可达 100+，部分媒体案例达到 220/390 元，实际测算需以后续接入数据为准。</w:t>
      </w:r>
    </w:p>
    <w:p w:rsidR="0088306D" w:rsidRDefault="00000000">
      <w:pPr>
        <w:pStyle w:val="1"/>
      </w:pPr>
      <w:r>
        <w:lastRenderedPageBreak/>
        <w:t>4</w:t>
      </w:r>
      <w:r>
        <w:t>、开发成本</w:t>
      </w:r>
    </w:p>
    <w:p w:rsidR="0088306D" w:rsidRDefault="00000000">
      <w:pPr>
        <w:pStyle w:val="21"/>
      </w:pPr>
      <w:r>
        <w:t xml:space="preserve">4.1 </w:t>
      </w:r>
      <w:r>
        <w:t>接入方案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广告平台：接入穿山甲商城页广告内容。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推荐形态：商城频道信息流/瀑布流，用于页面下半屏商品流承接。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主动广告：接入激励任务/激励视频，用于“看广告加速点亮拼图”。</w:t>
      </w:r>
    </w:p>
    <w:p w:rsidR="0088306D" w:rsidRDefault="00000000">
      <w:pPr>
        <w:pStyle w:val="a0"/>
      </w:pPr>
      <w:r>
        <w:t xml:space="preserve">SDK </w:t>
      </w:r>
      <w:proofErr w:type="spellStart"/>
      <w:r>
        <w:t>要求：穿山甲</w:t>
      </w:r>
      <w:proofErr w:type="spellEnd"/>
      <w:r>
        <w:t xml:space="preserve"> SDK 6500+；iOS 商城频道示例要求 6405+，可见性适配建议 7.1.0.0+。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广告位配置：商城频道申请信息流广告位，渲染方式选择自渲染；奖励场景申请激励视频；不发奖励可申请新插屏广告-全屏。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价格配置：</w:t>
      </w:r>
      <w:proofErr w:type="spellStart"/>
      <w:r>
        <w:rPr>
          <w:lang w:eastAsia="zh-CN"/>
        </w:rPr>
        <w:t>Gromore</w:t>
      </w:r>
      <w:proofErr w:type="spellEnd"/>
      <w:r>
        <w:rPr>
          <w:lang w:eastAsia="zh-CN"/>
        </w:rPr>
        <w:t xml:space="preserve"> 可用但需配置无底价；竞价类型必须为标准且不设置期望 CPM，否则不予结算。</w:t>
      </w:r>
    </w:p>
    <w:p w:rsidR="0088306D" w:rsidRDefault="00000000">
      <w:pPr>
        <w:pStyle w:val="a0"/>
      </w:pPr>
      <w:proofErr w:type="spellStart"/>
      <w:r>
        <w:t>奖励回调：通过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</w:t>
      </w:r>
      <w:proofErr w:type="spellStart"/>
      <w:r>
        <w:t>透传</w:t>
      </w:r>
      <w:proofErr w:type="spellEnd"/>
      <w:r>
        <w:t xml:space="preserve"> </w:t>
      </w:r>
      <w:proofErr w:type="spellStart"/>
      <w:r>
        <w:t>ec_reward_gold</w:t>
      </w:r>
      <w:proofErr w:type="spellEnd"/>
      <w:r>
        <w:t xml:space="preserve"> 和 ec_reward_duration，满足浏览时长后回调奖励，映射为下载券或SVIP体验进度。</w:t>
      </w:r>
    </w:p>
    <w:p w:rsidR="0088306D" w:rsidRDefault="00000000">
      <w:pPr>
        <w:pStyle w:val="a0"/>
        <w:rPr>
          <w:lang w:eastAsia="zh-CN"/>
        </w:rPr>
      </w:pPr>
      <w:r>
        <w:rPr>
          <w:lang w:eastAsia="zh-CN"/>
        </w:rPr>
        <w:t>数据限制：商城页当前只有曝光回调，没有点击回调，方案中收入与埋点不应依赖点击回调。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proofErr w:type="spellStart"/>
            <w:r>
              <w:rPr>
                <w:b/>
                <w:sz w:val="19"/>
              </w:rPr>
              <w:t>接入模块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接入内容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工作量判断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商城频道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下半屏商品瀑布流/信息流容器、自渲染广告 view、兜底页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中-高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激励任务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主动广告入口、广告完成回调、权益发放联动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奖励系统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权益库存、领取限制、发放记录、会员差异化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数据埋点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入口点击、页面访问、玩法完成、广告曝光、奖励回调、发券结果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风控频控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账号/设备/IP/领取次数限制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</w:tbl>
    <w:p w:rsidR="0088306D" w:rsidRDefault="0088306D"/>
    <w:p w:rsidR="0088306D" w:rsidRDefault="00000000">
      <w:pPr>
        <w:pStyle w:val="21"/>
      </w:pPr>
      <w:r>
        <w:t xml:space="preserve">4.2 </w:t>
      </w:r>
      <w:r>
        <w:t>开发时间粗略估计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306D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模块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工作内容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MVP预估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完整版本预估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需求评审与方案细化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玩法规则、奖励规则、广告接入规则、埋点口径确认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2–3人日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3–5人日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页面前端开发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活动首页、拼图区、任务区、奖励进度、瀑布流容器、规则/记录入口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6–8人日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10–14人日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拼图/答题玩法开发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拼图点亮、任务状态、次数控制、进度推进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4–6人日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8–12人日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奖励系统接入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下载券/SVIP体验券领取、</w:t>
            </w:r>
            <w:r>
              <w:rPr>
                <w:sz w:val="19"/>
                <w:lang w:eastAsia="zh-CN"/>
              </w:rPr>
              <w:lastRenderedPageBreak/>
              <w:t>库存校验、发放记录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lastRenderedPageBreak/>
              <w:t>4–6人日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8–12人日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穿山甲广告接入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商城频道信息流、自渲染容器、激励任务、曝光/奖励回调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6–8人日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10–15人日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服务端接口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用户状态、任务进度、奖励记录、风控基础校验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5–7人日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10–14人日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数据埋点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核心链路与收益相关埋点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2–3人日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5–8人日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测试与联调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前后端、广告、权益、兼容性、灰度验证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5–7人日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8–12人日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上线准备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灰度、监控、兜底、运营配置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2–3人日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4–6人日</w:t>
            </w:r>
          </w:p>
        </w:tc>
      </w:tr>
    </w:tbl>
    <w:p w:rsidR="0088306D" w:rsidRDefault="0088306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8306D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版本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总人力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自然周期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适用范围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MVP版本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约36–51人日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约3–4周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拼图主玩法 + 商城瀑布流 + 主动广告加速 + 基础奖励发放</w:t>
            </w:r>
          </w:p>
        </w:tc>
      </w:tr>
      <w:tr w:rsidR="0088306D">
        <w:trPr>
          <w:jc w:val="center"/>
        </w:trPr>
        <w:tc>
          <w:tcPr>
            <w:tcW w:w="2556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完整运营版本</w:t>
            </w:r>
            <w:proofErr w:type="spellEnd"/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约66–98人日</w:t>
            </w:r>
          </w:p>
        </w:tc>
        <w:tc>
          <w:tcPr>
            <w:tcW w:w="2556" w:type="dxa"/>
            <w:vAlign w:val="center"/>
          </w:tcPr>
          <w:p w:rsidR="0088306D" w:rsidRDefault="00000000">
            <w:r>
              <w:rPr>
                <w:sz w:val="19"/>
              </w:rPr>
              <w:t>约5–7周</w:t>
            </w:r>
          </w:p>
        </w:tc>
        <w:tc>
          <w:tcPr>
            <w:tcW w:w="2556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多玩法、多权益、会员差异化、运营后台、A/B测试、风控增强</w:t>
            </w:r>
          </w:p>
        </w:tc>
      </w:tr>
    </w:tbl>
    <w:p w:rsidR="0088306D" w:rsidRDefault="0088306D">
      <w:pPr>
        <w:rPr>
          <w:lang w:eastAsia="zh-CN"/>
        </w:rPr>
      </w:pPr>
    </w:p>
    <w:p w:rsidR="0088306D" w:rsidRDefault="00000000">
      <w:pPr>
        <w:pStyle w:val="21"/>
      </w:pPr>
      <w:r>
        <w:t xml:space="preserve">4.3 </w:t>
      </w:r>
      <w:proofErr w:type="spellStart"/>
      <w:r>
        <w:t>建议排期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周期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重点工作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产出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第1周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需求冻结、视觉定稿、技术方案、广告位申请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PRD/交互稿/视觉稿/技术方案/广告位配置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第2周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页面开发、拼图玩法、服务端任务进度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可交互活动页与基础任务链路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第3周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奖励发放、穿山甲商城频道/激励任务接入、埋点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广告与权益闭环链路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第4周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联调测试、灰度上线、监控和问题修复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MVP灰度上线</w:t>
            </w:r>
            <w:proofErr w:type="spellEnd"/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第5周后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运营后台、A/B测试、会员差异化、风控增强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长期运营能力</w:t>
            </w:r>
            <w:proofErr w:type="spellEnd"/>
          </w:p>
        </w:tc>
      </w:tr>
    </w:tbl>
    <w:p w:rsidR="0088306D" w:rsidRDefault="0088306D"/>
    <w:p w:rsidR="0088306D" w:rsidRDefault="00000000">
      <w:pPr>
        <w:pStyle w:val="1"/>
      </w:pPr>
      <w:r>
        <w:lastRenderedPageBreak/>
        <w:t>风格参考图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以下三张为按参考图结构重绘的风格方向，可用于评估最终视觉方向。</w:t>
      </w:r>
    </w:p>
    <w:p w:rsidR="0088306D" w:rsidRDefault="00000000">
      <w:pPr>
        <w:rPr>
          <w:lang w:eastAsia="zh-CN"/>
        </w:rPr>
      </w:pPr>
      <w:r>
        <w:rPr>
          <w:lang w:eastAsia="zh-CN"/>
        </w:rPr>
        <w:t>风格A：百度网盘品牌风</w:t>
      </w:r>
    </w:p>
    <w:p w:rsidR="0088306D" w:rsidRDefault="00000000">
      <w:r>
        <w:rPr>
          <w:noProof/>
        </w:rPr>
        <w:drawing>
          <wp:inline distT="0" distB="0" distL="0" distR="0">
            <wp:extent cx="2834640" cy="5078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bra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r>
        <w:t>风格B：营销游戏风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g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pPr>
        <w:rPr>
          <w:lang w:eastAsia="zh-CN"/>
        </w:rPr>
      </w:pPr>
      <w:r>
        <w:rPr>
          <w:lang w:eastAsia="zh-CN"/>
        </w:rPr>
        <w:t>风格C：红包机/电商导购风</w:t>
      </w:r>
    </w:p>
    <w:p w:rsidR="0088306D" w:rsidRDefault="00000000">
      <w:r>
        <w:rPr>
          <w:noProof/>
        </w:rPr>
        <w:lastRenderedPageBreak/>
        <w:drawing>
          <wp:inline distT="0" distB="0" distL="0" distR="0">
            <wp:extent cx="2834640" cy="50787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erence_structure_m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6D" w:rsidRDefault="00000000">
      <w:pPr>
        <w:pStyle w:val="1"/>
      </w:pPr>
      <w:r>
        <w:t>待补充材料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8306D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材料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用途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88306D" w:rsidRDefault="00000000">
            <w:r>
              <w:rPr>
                <w:b/>
                <w:sz w:val="19"/>
              </w:rPr>
              <w:t>优先级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权益成本单价与库存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测算权益成本和发放上限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高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商城频道 ARPU / 激励广告 eCPM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测算广告收入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高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激励广告完成率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测算主动广告收入和奖励成本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高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研发/设计/运营/服务端成本单价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测算开发成本与净收益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会员用户奖励替代权益</w:t>
            </w:r>
          </w:p>
        </w:tc>
        <w:tc>
          <w:tcPr>
            <w:tcW w:w="3408" w:type="dxa"/>
            <w:vAlign w:val="center"/>
          </w:tcPr>
          <w:p w:rsidR="0088306D" w:rsidRDefault="00000000">
            <w:proofErr w:type="spellStart"/>
            <w:r>
              <w:rPr>
                <w:sz w:val="19"/>
              </w:rPr>
              <w:t>完善会员差异化策略</w:t>
            </w:r>
            <w:proofErr w:type="spellEnd"/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中</w:t>
            </w:r>
          </w:p>
        </w:tc>
      </w:tr>
      <w:tr w:rsidR="0088306D">
        <w:trPr>
          <w:jc w:val="center"/>
        </w:trPr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合规与隐私审核要求</w:t>
            </w:r>
          </w:p>
        </w:tc>
        <w:tc>
          <w:tcPr>
            <w:tcW w:w="3408" w:type="dxa"/>
            <w:vAlign w:val="center"/>
          </w:tcPr>
          <w:p w:rsidR="0088306D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确认广告标识、奖励规则、隐私授权</w:t>
            </w:r>
          </w:p>
        </w:tc>
        <w:tc>
          <w:tcPr>
            <w:tcW w:w="3408" w:type="dxa"/>
            <w:vAlign w:val="center"/>
          </w:tcPr>
          <w:p w:rsidR="0088306D" w:rsidRDefault="00000000">
            <w:r>
              <w:rPr>
                <w:sz w:val="19"/>
              </w:rPr>
              <w:t>高</w:t>
            </w:r>
          </w:p>
        </w:tc>
      </w:tr>
    </w:tbl>
    <w:p w:rsidR="0088306D" w:rsidRDefault="0088306D"/>
    <w:sectPr w:rsidR="0088306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918513">
    <w:abstractNumId w:val="8"/>
  </w:num>
  <w:num w:numId="2" w16cid:durableId="1181314484">
    <w:abstractNumId w:val="6"/>
  </w:num>
  <w:num w:numId="3" w16cid:durableId="1385987652">
    <w:abstractNumId w:val="5"/>
  </w:num>
  <w:num w:numId="4" w16cid:durableId="112557399">
    <w:abstractNumId w:val="4"/>
  </w:num>
  <w:num w:numId="5" w16cid:durableId="267080478">
    <w:abstractNumId w:val="7"/>
  </w:num>
  <w:num w:numId="6" w16cid:durableId="1141919341">
    <w:abstractNumId w:val="3"/>
  </w:num>
  <w:num w:numId="7" w16cid:durableId="1197040894">
    <w:abstractNumId w:val="2"/>
  </w:num>
  <w:num w:numId="8" w16cid:durableId="1061564423">
    <w:abstractNumId w:val="1"/>
  </w:num>
  <w:num w:numId="9" w16cid:durableId="69731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BB"/>
    <w:rsid w:val="0015074B"/>
    <w:rsid w:val="0029639D"/>
    <w:rsid w:val="00326F90"/>
    <w:rsid w:val="005C022C"/>
    <w:rsid w:val="008830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4DE17"/>
  <w14:defaultImageDpi w14:val="300"/>
  <w15:docId w15:val="{D7260772-3BBB-BB46-88C7-1A4CF3909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PingFang SC" w:eastAsia="PingFang SC" w:hAnsi="PingFang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shenzhenbin</cp:lastModifiedBy>
  <cp:revision>2</cp:revision>
  <dcterms:created xsi:type="dcterms:W3CDTF">2013-12-23T23:15:00Z</dcterms:created>
  <dcterms:modified xsi:type="dcterms:W3CDTF">2026-05-25T03:55:00Z</dcterms:modified>
  <cp:category/>
</cp:coreProperties>
</file>