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D351" w14:textId="5FD60836" w:rsidR="009563AE" w:rsidRDefault="009563AE" w:rsidP="009563AE">
      <w:pPr>
        <w:jc w:val="center"/>
        <w:rPr>
          <w:b/>
          <w:bCs/>
          <w:sz w:val="40"/>
          <w:szCs w:val="40"/>
        </w:rPr>
      </w:pPr>
      <w:r w:rsidRPr="009563AE">
        <w:rPr>
          <w:b/>
          <w:bCs/>
          <w:sz w:val="40"/>
          <w:szCs w:val="40"/>
        </w:rPr>
        <w:t>Open-label SSRI/SNRIs vs psychedelic therapy in the treatment of major depression</w:t>
      </w:r>
    </w:p>
    <w:p w14:paraId="3D01EC2F" w14:textId="77777777" w:rsidR="009563AE" w:rsidRPr="009563AE" w:rsidRDefault="009563AE" w:rsidP="009563AE">
      <w:pPr>
        <w:jc w:val="center"/>
        <w:rPr>
          <w:b/>
          <w:bCs/>
        </w:rPr>
      </w:pPr>
    </w:p>
    <w:p w14:paraId="498542E4" w14:textId="205F87B2" w:rsidR="009563AE" w:rsidRPr="009563AE" w:rsidRDefault="009563AE" w:rsidP="009563AE">
      <w:pPr>
        <w:jc w:val="center"/>
      </w:pPr>
      <w:r w:rsidRPr="009563AE">
        <w:t>Meta-analysis registration</w:t>
      </w:r>
    </w:p>
    <w:p w14:paraId="7B3516C8" w14:textId="77777777" w:rsidR="009563AE" w:rsidRDefault="009563AE" w:rsidP="009563AE"/>
    <w:p w14:paraId="016B808C" w14:textId="5D2D15A5" w:rsidR="009563AE" w:rsidRDefault="009563AE" w:rsidP="009563AE">
      <w:r>
        <w:t xml:space="preserve">This document follows the structure of the aspredicted.org registration website. </w:t>
      </w:r>
    </w:p>
    <w:p w14:paraId="48CFBEE5" w14:textId="77777777" w:rsidR="009563AE" w:rsidRDefault="009563AE" w:rsidP="009563AE"/>
    <w:p w14:paraId="4767F7EA" w14:textId="7D9EC58C" w:rsidR="009563AE" w:rsidRDefault="009563AE" w:rsidP="009563AE">
      <w:pPr>
        <w:pStyle w:val="Heading1"/>
      </w:pPr>
      <w:r>
        <w:t>Hypothesis</w:t>
      </w:r>
    </w:p>
    <w:p w14:paraId="34C016D2" w14:textId="77777777" w:rsidR="009563AE" w:rsidRDefault="009563AE" w:rsidP="009563AE"/>
    <w:p w14:paraId="25C05616" w14:textId="08F36378" w:rsidR="00762945" w:rsidRDefault="009563AE" w:rsidP="009563AE">
      <w:r>
        <w:t>The aim is to investigate how the lack of effective blinding influences outcomes in psychedelic trials when results are compared to traditional SSRI/SNRIs antidepressants. The correct guess rate (CGR), i.e. what percentage of blinded patients guesses correctly their treatment allocation, is a common metric of blinding quality where 50% indicates effective blinding</w:t>
      </w:r>
      <w:r w:rsidR="008C17BF">
        <w:t xml:space="preserve"> </w:t>
      </w:r>
      <w:r w:rsidR="008C17BF">
        <w:fldChar w:fldCharType="begin"/>
      </w:r>
      <w:r w:rsidR="00A4114C">
        <w:instrText xml:space="preserve"> ADDIN ZOTERO_ITEM CSL_CITATION {"citationID":"hzPVWCtc","properties":{"formattedCitation":"(Szigeti et al., 2023)","plainCitation":"(Szigeti et al., 2023)","noteIndex":0},"citationItems":[{"id":3240,"uris":["http://zotero.org/users/8057775/items/6JAQ675Z"],"itemData":{"id":3240,"type":"article-journal","abstract":"In medical trials, ‘blinding’ ensures the equal distribution of expectancy effects between treatment arms in theory; however, blinding often fails in practice. We use computational modelling to show how weak blinding, combined with positive treatment expectancy, can lead to an uneven distribution of expectancy effects. We call this ‘activated expectancy bias’ (AEB) and show that AEB can inflate estimates of treatment effects and create false positive findings. To counteract AEB, we introduce the Correct Guess Rate Curve (CGRC), a statistical tool that can estimate the outcome of a perfectly blinded trial based on data from an imperfectly blinded trial. To demonstrate the impact of AEB and the utility of the CGRC on empirical data, we re-analyzed the ‘self-blinding psychedelic microdose trial’ dataset. Results suggest that observed placebo-microdose differences are susceptible to AEB and are at risk of being false positive findings, hence, we argue that microdosing can be understood as active placebo. These results highlight the important difference between ‘trials with a placebo-control group’, i.e., when a placebo control group is formally present, and ‘placebo-controlled trials’, where patients are genuinely blind. We also present a new blinding integrity assessment tool that is compatible with CGRC and recommend its adoption.","container-title":"Scientific Reports","DOI":"10.1038/s41598-023-34938-7","ISSN":"2045-2322","issue":"1","journalAbbreviation":"Sci Rep","language":"en","license":"2023 The Author(s)","note":"number: 1\npublisher: Nature Publishing Group","page":"12107","source":"www.nature.com","title":"The difference between ‘placebo group’ and ‘placebo control’: a case study in psychedelic microdosing","title-short":"The difference between ‘placebo group’ and ‘placebo control’","volume":"13","author":[{"family":"Szigeti","given":"Balázs"},{"family":"Nutt","given":"David"},{"family":"Carhart-Harris","given":"Robin"},{"family":"Erritzoe","given":"David"}],"issued":{"date-parts":[["2023",7,26]]}}}],"schema":"https://github.com/citation-style-language/schema/raw/master/csl-citation.json"} </w:instrText>
      </w:r>
      <w:r w:rsidR="008C17BF">
        <w:fldChar w:fldCharType="separate"/>
      </w:r>
      <w:r w:rsidR="00A4114C" w:rsidRPr="00A4114C">
        <w:rPr>
          <w:rFonts w:cs="Arial"/>
        </w:rPr>
        <w:t>(Szigeti et al., 2023)</w:t>
      </w:r>
      <w:r w:rsidR="008C17BF">
        <w:fldChar w:fldCharType="end"/>
      </w:r>
      <w:r>
        <w:t>. Psychedelic studies often report CGR</w:t>
      </w:r>
      <w:r w:rsidR="008C17BF">
        <w:t xml:space="preserve"> </w:t>
      </w:r>
      <w:r>
        <w:t>&gt;</w:t>
      </w:r>
      <w:r w:rsidR="008C17BF">
        <w:t xml:space="preserve"> </w:t>
      </w:r>
      <w:r>
        <w:t xml:space="preserve">90% </w:t>
      </w:r>
      <w:r w:rsidR="008C17BF">
        <w:fldChar w:fldCharType="begin"/>
      </w:r>
      <w:r w:rsidR="00A75AF5">
        <w:instrText xml:space="preserve"> ADDIN ZOTERO_ITEM CSL_CITATION {"citationID":"KQanHsP1","properties":{"formattedCitation":"(Bogenschutz et al., 2022)","plainCitation":"(Bogenschutz et al., 2022)","noteIndex":0},"citationItems":[{"id":2201,"uris":["http://zotero.org/users/8057775/items/IZZU7YPK"],"itemData":{"id":2201,"type":"article-journal","abstract":"Although classic psychedelic medications have shown promise in the treatment of alcohol use disorder (AUD), the efficacy of psilocybin remains unknown.To evaluate whether 2 administrations of high-dose psilocybin improve the percentage of heavy drinking days in patients with AUD undergoing psychotherapy relative to outcomes observed with active placebo medication and psychotherapy.In this double-blind randomized clinical trial, participants were offered 12 weeks of manualized psychotherapy and were randomly assigned to receive psilocybin vs diphenhydramine during 2 day-long medication sessions at weeks 4 and 8. Outcomes were assessed over the 32-week double-blind period following the first dose of study medication. The study was conducted at 2 academic centers in the US. Participants were recruited from the community between March 12, 2014, and March 19, 2020. Adults aged 25 to 65 years with a DSM-IV diagnosis of alcohol dependence and at least 4 heavy drinking days during the 30 days prior to screening were included. Exclusion criteria included major psychiatric and drug use disorders, hallucinogen use, medical conditions that contraindicated the study medications, use of exclusionary medications, and current treatment for AUD.Study medications were psilocybin, 25 mg/70 kg, vs diphenhydramine, 50 mg (first session), and psilocybin, 25-40 mg/70 kg, vs diphenhydramine, 50-100 mg (second session). Psychotherapy included motivational enhancement therapy and cognitive behavioral therapy.The primary outcome was percentage of heavy drinking days, assessed using a timeline followback interview, contrasted between groups over the 32-week period following the first administration of study medication using multivariate repeated-measures analysis of variance.A total of 95 participants (mean [SD] age, 46 [12] years; 42 [44.2%] female) were randomized (49 to psilocybin and 46 to diphenhydramine). One participant (1.1%) was American Indian/Alaska Native, 5 (5.3%) were Black, 16 (16.8%) were Hispanic, and 75 (78.9%) were non-Hispanic White. Of the 95 randomized participants, 93 received at least 1 dose of study medication and were included in the primary outcome analysis. Percentage of heavy drinking days during the 32-week double-blind period was 9.7% for the psilocybin group and 23.6% for the diphenhydramine group, a mean difference of 13.9%; (95% CI, 3.0–24.7; F1,86 = 6.43; P = .01). Mean daily alcohol consumption (number of standard drinks per day) was also lower in the psilocybin group. There were no serious adverse events among participants who received psilocybin.Psilocybin administered in combination with psychotherapy produced robust decreases in percentage of heavy drinking days over and above those produced by active placebo and psychotherapy. These results provide support for further study of psilocybin-assisted treatment for AUD.ClinicalTrials.gov Identifier: NCT02061293","container-title":"JAMA Psychiatry","DOI":"10.1001/jamapsychiatry.2022.2096","ISSN":"2168-622X","journalAbbreviation":"JAMA Psychiatry","note":"1 citations (Semantic Scholar/DOI) [2022-08-30]","source":"Silverchair","title":"Percentage of Heavy Drinking Days Following Psilocybin-Assisted Psychotherapy vs Placebo in the Treatment of Adult Patients With Alcohol Use Disorder: A Randomized Clinical Trial","title-short":"Percentage of Heavy Drinking Days Following Psilocybin-Assisted Psychotherapy vs Placebo in the Treatment of Adult Patients With Alcohol Use Disorder","URL":"https://doi.org/10.1001/jamapsychiatry.2022.2096","author":[{"family":"Bogenschutz","given":"Michael P."},{"family":"Ross","given":"Stephen"},{"family":"Bhatt","given":"Snehal"},{"family":"Baron","given":"Tara"},{"family":"Forcehimes","given":"Alyssa A."},{"family":"Laska","given":"Eugene"},{"family":"Mennenga","given":"Sarah E."},{"family":"O’Donnell","given":"Kelley"},{"family":"Owens","given":"Lindsey T."},{"family":"Podrebarac","given":"Samantha"},{"family":"Rotrosen","given":"John"},{"family":"Tonigan","given":"J. Scott"},{"family":"Worth","given":"Lindsay"}],"accessed":{"date-parts":[["2022",8,30]]},"issued":{"date-parts":[["2022",8,24]]}}}],"schema":"https://github.com/citation-style-language/schema/raw/master/csl-citation.json"} </w:instrText>
      </w:r>
      <w:r w:rsidR="008C17BF">
        <w:fldChar w:fldCharType="separate"/>
      </w:r>
      <w:r w:rsidR="008C17BF" w:rsidRPr="008C17BF">
        <w:rPr>
          <w:rFonts w:cs="Arial"/>
        </w:rPr>
        <w:t>(Bogenschutz et al., 2022)</w:t>
      </w:r>
      <w:r w:rsidR="008C17BF">
        <w:fldChar w:fldCharType="end"/>
      </w:r>
      <w:r>
        <w:t xml:space="preserve">, while for  SSRI/SNRIs the CGR is commonly around 65% </w:t>
      </w:r>
      <w:r w:rsidR="008C17BF">
        <w:fldChar w:fldCharType="begin"/>
      </w:r>
      <w:r w:rsidR="00A75AF5">
        <w:instrText xml:space="preserve"> ADDIN ZOTERO_ITEM CSL_CITATION {"citationID":"V7GINtqe","properties":{"formattedCitation":"(Lin et al., 2022; Scott et al., 2022)","plainCitation":"(Lin et al., 2022; Scott et al., 2022)","noteIndex":0},"citationItems":[{"id":1660,"uris":["http://zotero.org/users/8057775/items/4XXD6LVI"],"itemData":{"id":1660,"type":"article-journal","abstract":"Background In double-blind randomized controlled trials (RCTs) of antidepressants, blinding can be broken due to the apparent side effects, and unsuccessful blinding can lead to overestimation of effect sizes. New generation antidepressants with less severe side effects may be less susceptible to broken blinding. However, successfulness of blinding in new generation antidepressant trials and its inﬂuence on trial effect size estimates remain unclear.","container-title":"eClinicalMedicine","DOI":"10.1016/j.eclinm.2022.101505","ISSN":"25895370","journalAbbreviation":"eClinicalMedicine","language":"en","note":"0 citations (Crossref) [2022-07-22]","page":"101505","source":"DOI.org (Crossref)","title":"Assessment of blinding in randomized controlled trials of antidepressants for depressive disorders 2000–2020: A systematic review and meta-analysis","title-short":"Assessment of blinding in randomized controlled trials of antidepressants for depressive disorders 2000–2020","volume":"50","author":[{"family":"Lin","given":"Yi-Hsuan"},{"family":"Sahker","given":"Ethan"},{"family":"Shinohara","given":"Kiyomi"},{"family":"Horinouchi","given":"Noboru"},{"family":"Ito","given":"Masami"},{"family":"Lelliott","given":"Madoka"},{"family":"Cipriani","given":"Andrea"},{"family":"Tomlinson","given":"Anneka"},{"family":"Baethge","given":"Christopher"},{"family":"Furukawa","given":"Toshi A."}],"issued":{"date-parts":[["2022",8]]}}},{"id":1321,"uris":["http://zotero.org/users/8057775/items/DV2VX2SR"],"itemData":{"id":1321,"type":"article-journal","abstract":"Successful blinding in double-blind RCTs is crucial for minimizing bias, however studies rarely report information about blinding. Among RCTs for depression, the rates of testing and success of blinding is unknown. We conducted a systematic review and meta-analysis of the rates of testing, predictors, and success of blinding in RCTs of antidepressants for depression. Following systematic search, further information about blinding assessment was requested from corresponding authors of the included studies. We reported the frequency of blinding assessment across all RCTs, and conducted logistic regression analyses to assess predictors of blinding reporting. Participant and/or investigator guesses about treatment allocation were used to calculate Bang's Blinding Index (BI). The BI between RCT arms was compared using meta-analysis. Across the 295 included trials, only 4.7% of studies assessed blinding. Pharmaceutical company sponsorship predicted blinding assessment; unsponsored trials were more likely to assess blinding. Meta-analysis suggested that blinding was unsuccessful among participants and investigators. Results suggest that blinding is rarely assessed, and often fails, among RCTs of antidepressants. This is concerning considering controversy around the efficacy of antidepressant medication. Blinding should be routinely assessed and reported in RCTs of antidepressants, and trial outcomes should be considered in light of blinding success or failure.","container-title":"Psychiatry Research","DOI":"10.1016/j.psychres.2021.114297","ISSN":"0165-1781","journalAbbreviation":"Psychiatry Research","language":"en","note":"3 citations (Crossref) [2022-07-22]","page":"114297","source":"ScienceDirect","title":"A systematic review and meta-analysis of the success of blinding in antidepressant RCTs","volume":"307","author":[{"family":"Scott","given":"Amelia J"},{"family":"Sharpe","given":"Louise"},{"family":"Colagiuri","given":"Ben"}],"issued":{"date-parts":[["2022",1,1]]}}}],"schema":"https://github.com/citation-style-language/schema/raw/master/csl-citation.json"} </w:instrText>
      </w:r>
      <w:r w:rsidR="008C17BF">
        <w:fldChar w:fldCharType="separate"/>
      </w:r>
      <w:r w:rsidR="008C17BF" w:rsidRPr="008C17BF">
        <w:rPr>
          <w:rFonts w:cs="Arial"/>
        </w:rPr>
        <w:t>(Lin et al., 2022; Scott et al., 2022)</w:t>
      </w:r>
      <w:r w:rsidR="008C17BF">
        <w:fldChar w:fldCharType="end"/>
      </w:r>
      <w:r w:rsidR="008C17BF">
        <w:t xml:space="preserve">. </w:t>
      </w:r>
      <w:r>
        <w:t xml:space="preserve">This blinding quality difference hinders the fair comparison of these two treatment modalities, as psychedelic trials are effectively always open-label. </w:t>
      </w:r>
    </w:p>
    <w:p w14:paraId="1DC87C14" w14:textId="77777777" w:rsidR="00762945" w:rsidRDefault="00762945" w:rsidP="009563AE"/>
    <w:p w14:paraId="5CFC0EB8" w14:textId="6F0AC606" w:rsidR="00762945" w:rsidRDefault="009563AE" w:rsidP="009563AE">
      <w:r w:rsidRPr="00A4114C">
        <w:t xml:space="preserve">Given that psychedelic trials are effectively always open-label, results from these trials should be compared to open-label antidepressant trials. Such comparison is fair, because in this case both treatments equally benefit from patients knowing that they receive an active treatment. </w:t>
      </w:r>
      <w:r w:rsidR="00762945" w:rsidRPr="00A4114C">
        <w:t xml:space="preserve">Therefore, we plan to </w:t>
      </w:r>
      <w:r w:rsidRPr="00A4114C">
        <w:t>compare the efficacy of open-label new generation antidepressants (OLAD) vs. psychedelic-assister therapy (PAT)</w:t>
      </w:r>
      <w:r w:rsidR="00762945" w:rsidRPr="00A4114C">
        <w:t xml:space="preserve">. </w:t>
      </w:r>
      <w:r w:rsidRPr="00A4114C">
        <w:t>We hypothesize that</w:t>
      </w:r>
      <w:r w:rsidR="00762945" w:rsidRPr="00A4114C">
        <w:t>:</w:t>
      </w:r>
    </w:p>
    <w:p w14:paraId="0F6A3374" w14:textId="77777777" w:rsidR="00762945" w:rsidRDefault="00762945" w:rsidP="009563AE"/>
    <w:p w14:paraId="05F4E94F" w14:textId="58B1A998" w:rsidR="00762945" w:rsidRDefault="00762945" w:rsidP="009563AE">
      <w:pPr>
        <w:pStyle w:val="ListParagraph"/>
        <w:numPr>
          <w:ilvl w:val="0"/>
          <w:numId w:val="1"/>
        </w:numPr>
      </w:pPr>
      <w:r>
        <w:t>t</w:t>
      </w:r>
      <w:r w:rsidR="009563AE">
        <w:t>he</w:t>
      </w:r>
      <w:r>
        <w:t xml:space="preserve"> </w:t>
      </w:r>
      <w:r w:rsidRPr="00762945">
        <w:t>estimated</w:t>
      </w:r>
      <w:r w:rsidR="009563AE">
        <w:t xml:space="preserve"> mean between-treatment difference </w:t>
      </w:r>
      <w:r>
        <w:t>at the primary endpoint</w:t>
      </w:r>
      <w:r w:rsidR="000B0F5A">
        <w:t xml:space="preserve"> on the HAMD scale</w:t>
      </w:r>
      <w:r>
        <w:t xml:space="preserve"> </w:t>
      </w:r>
      <w:r w:rsidR="009563AE">
        <w:t xml:space="preserve">will exceed the </w:t>
      </w:r>
      <w:r w:rsidR="009563AE" w:rsidRPr="00762945">
        <w:rPr>
          <w:i/>
          <w:iCs/>
        </w:rPr>
        <w:t>'minimal important difference</w:t>
      </w:r>
      <w:r w:rsidR="009563AE">
        <w:t>' (MID) favoring PAT</w:t>
      </w:r>
      <w:r w:rsidR="00C348A8">
        <w:t>. Previous work ha</w:t>
      </w:r>
      <w:r w:rsidR="004311D8">
        <w:t>s</w:t>
      </w:r>
      <w:r w:rsidR="00C348A8">
        <w:t xml:space="preserve"> found that a difference of 3</w:t>
      </w:r>
      <w:r w:rsidR="000B0F5A">
        <w:t>-5</w:t>
      </w:r>
      <w:r w:rsidR="00C348A8">
        <w:t xml:space="preserve"> points </w:t>
      </w:r>
      <w:r w:rsidR="00C348A8" w:rsidRPr="00C348A8">
        <w:t>on the HAMD measure</w:t>
      </w:r>
      <w:r w:rsidR="00C348A8">
        <w:t xml:space="preserve"> corresponds to the</w:t>
      </w:r>
      <w:r w:rsidR="000B0F5A">
        <w:t xml:space="preserve"> MID </w:t>
      </w:r>
      <w:r w:rsidR="000B0F5A">
        <w:fldChar w:fldCharType="begin"/>
      </w:r>
      <w:r w:rsidR="000B0F5A">
        <w:instrText xml:space="preserve"> ADDIN ZOTERO_ITEM CSL_CITATION {"citationID":"ZoMz3W6y","properties":{"formattedCitation":"(Hengartner &amp; Pl\\uc0\\u246{}derl, 2022)","plainCitation":"(Hengartner &amp; Plöderl, 2022)","noteIndex":0},"citationItems":[{"id":1493,"uris":["http://zotero.org/users/8057775/items/4KGUGMJN"],"itemData":{"id":1493,"type":"article-journal","abstract":"The efficacy of antidepressants in the acute treatment of moderate-to-severe depression remains a controversial issue. The minimal important difference (MID) is relevant to judge the clinical significance of treatment effects. In this analysis paper, we discuss estimates of the MID for common depression outcome measures.\nFor the Hamilton Depression Rating Scale 17-item Version (HDRS-17), according to both anchor-based and distribution-based approaches, MID estimates range from 3 to 8 points, and the most accurate values are likely between 3 and 5 points. For the 6-item version (HDRS-6), MID estimates range between 2 and 4 points. For both the Montgomery-Åsberg Depression Rating Scale (MADRS) and the Beck Depression Inventory II (BDI-II), MID estimates range between 3 and 9 points, with estimates of 3–6 points likely being the most accurate. Quality of life appears to be more important to patients than core depression symptoms. We thus also evaluated the Short-Form 36 (SF-36) mental component score, a popular mental-health-related quality of life measure. Its MID estimate is likely about 5 points. By contrast, the average treatment effects of antidepressants on the HDRS-17, HDRS-6, MADRS, BDI-II and SF-36 are 2 points, 1.5 points, 3 points, 2 points and 3–5 points, respectively.\nIn conclusion, the efficacy of antidepressants in the acute treatment of moderate-to-severe depression consistently fails to exceed the lower bound of the MID estimates for common depression outcome measures. The clinical significance of antidepressants thus remains uncertain and we call for more research on quality of life measures, which are the patients’ most valued outcome domains.","container-title":"BMJ Evidence-Based Medicine","DOI":"10.1136/bmjebm-2020-111600","ISSN":"2515-446X, 2515-4478","issue":"2","language":"en","license":"© Author(s) (or their employer(s)) 2022. No commercial re-use. See rights and permissions. Published by BMJ.","note":"5 citations (Crossref) [2022-07-22]\npublisher: Royal Society of Medicine\nsection: EBM analysis\nPMID: 33593736","page":"69-73","source":"ebm.bmj.com","title":"Estimates of the minimal important difference to evaluate the clinical significance of antidepressants in the acute treatment of moderate-to-severe depression","volume":"27","author":[{"family":"Hengartner","given":"Michael P."},{"family":"Plöderl","given":"Martin"}],"issued":{"date-parts":[["2022",4,1]]}}}],"schema":"https://github.com/citation-style-language/schema/raw/master/csl-citation.json"} </w:instrText>
      </w:r>
      <w:r w:rsidR="000B0F5A">
        <w:fldChar w:fldCharType="separate"/>
      </w:r>
      <w:r w:rsidR="000B0F5A" w:rsidRPr="00762945">
        <w:rPr>
          <w:rFonts w:cs="Arial"/>
          <w:kern w:val="0"/>
          <w:szCs w:val="24"/>
        </w:rPr>
        <w:t>(Hengartner &amp; Plöderl, 2022)</w:t>
      </w:r>
      <w:r w:rsidR="000B0F5A">
        <w:fldChar w:fldCharType="end"/>
      </w:r>
      <w:r w:rsidR="000B0F5A">
        <w:t>, here we will take the lower bound of this estimate to be the MID</w:t>
      </w:r>
      <w:r w:rsidR="005A6E22">
        <w:t>.</w:t>
      </w:r>
      <w:r w:rsidR="00C348A8">
        <w:t xml:space="preserve"> </w:t>
      </w:r>
    </w:p>
    <w:p w14:paraId="41870F15" w14:textId="69A13D92" w:rsidR="00762945" w:rsidRDefault="00762945" w:rsidP="009563AE">
      <w:pPr>
        <w:pStyle w:val="ListParagraph"/>
        <w:numPr>
          <w:ilvl w:val="0"/>
          <w:numId w:val="1"/>
        </w:numPr>
      </w:pPr>
      <w:r w:rsidRPr="00762945">
        <w:t>the estimated mean difference</w:t>
      </w:r>
      <w:r w:rsidR="00A4114C">
        <w:t xml:space="preserve"> on the HAMD scale</w:t>
      </w:r>
      <w:r w:rsidRPr="00762945">
        <w:t xml:space="preserve"> at the primary endpoint will </w:t>
      </w:r>
      <w:r>
        <w:t xml:space="preserve">not </w:t>
      </w:r>
      <w:r w:rsidRPr="00762945">
        <w:t xml:space="preserve">exceed </w:t>
      </w:r>
      <w:r>
        <w:t xml:space="preserve">the MID </w:t>
      </w:r>
      <w:r w:rsidR="00CB291D">
        <w:t>between formally blinded (</w:t>
      </w:r>
      <w:r w:rsidR="0034252D">
        <w:t>e.g. when a formal placebo control group was present</w:t>
      </w:r>
      <w:r w:rsidR="00CB291D">
        <w:t xml:space="preserve">) and open-label PAT trials. </w:t>
      </w:r>
    </w:p>
    <w:p w14:paraId="542D23DA" w14:textId="201D45F5" w:rsidR="00762945" w:rsidRDefault="00CB291D" w:rsidP="009563AE">
      <w:pPr>
        <w:pStyle w:val="ListParagraph"/>
        <w:numPr>
          <w:ilvl w:val="0"/>
          <w:numId w:val="1"/>
        </w:numPr>
      </w:pPr>
      <w:r w:rsidRPr="00CB291D">
        <w:t>the estimated mean difference</w:t>
      </w:r>
      <w:r w:rsidR="00A4114C">
        <w:t xml:space="preserve"> on the HAMD scale</w:t>
      </w:r>
      <w:r w:rsidRPr="00CB291D">
        <w:t xml:space="preserve"> at the primary endpoint will exceed the MID between </w:t>
      </w:r>
      <w:r>
        <w:t xml:space="preserve">blinded and </w:t>
      </w:r>
      <w:r w:rsidRPr="00CB291D">
        <w:t>open-label SSRI/SNRIs trials</w:t>
      </w:r>
      <w:r w:rsidR="00483A67">
        <w:t>, favoring open-label administration</w:t>
      </w:r>
      <w:r w:rsidRPr="00CB291D">
        <w:t xml:space="preserve">. </w:t>
      </w:r>
      <w:r>
        <w:t xml:space="preserve">For this comparison, we will </w:t>
      </w:r>
      <w:r w:rsidR="0034252D">
        <w:t>use</w:t>
      </w:r>
      <w:r>
        <w:t xml:space="preserve"> publicly available data </w:t>
      </w:r>
      <w:r w:rsidR="0034252D">
        <w:t xml:space="preserve">on blinded </w:t>
      </w:r>
      <w:r w:rsidR="005A6E22">
        <w:t xml:space="preserve">antidepressant </w:t>
      </w:r>
      <w:r w:rsidR="0034252D">
        <w:t xml:space="preserve">trials </w:t>
      </w:r>
      <w:r>
        <w:t xml:space="preserve">from </w:t>
      </w:r>
      <w:r w:rsidR="0034252D">
        <w:fldChar w:fldCharType="begin"/>
      </w:r>
      <w:r w:rsidR="00A75AF5">
        <w:instrText xml:space="preserve"> ADDIN ZOTERO_ITEM CSL_CITATION {"citationID":"PdHRx6D7","properties":{"formattedCitation":"(Cipriani et al., 2018)","plainCitation":"(Cipriani et al., 2018)","noteIndex":0},"citationItems":[{"id":712,"uris":["http://zotero.org/users/8057775/items/NDUK4XDP"],"itemData":{"id":712,"type":"article-journal","abstract":"Background:\n\nMajor depressive disorder is one of the most common, burdensome, and costly psychiatric disorders worldwide in adults. Pharmacological and non-pharmacological treatments are available; however, because of inadequate resources, antidepressants are used more frequently than psychological interventions. Prescription of these agents should be informed by the best available evidence. Therefore, we aimed to update and expand our previous work to compare and rank antidepressants for the acute treatment of adults with unipolar major depressive disorder.\n\nMethods:\n\nWe did a systematic review and network meta-analysis. We searched Cochrane Central Register of Controlled Trials, CINAHL, Embase, LILACS database, MEDLINE, MEDLINE In-Process, PsycINFO, the websites of regulatory agencies, and international registers for published and unpublished, double-blind, randomised controlled trials from their inception to Jan 8, 2016. We included placebo-controlled and head-to-head trials of 21 antidepressants used for the acute treatment of adults (≥18 years old and of both sexes) with major depressive disorder diagnosed according to standard operationalised criteria. We excluded quasi-randomised trials and trials that were incomplete or included 20% or more of participants with bipolar disorder, psychotic depression, or treatment-resistant depression; or patients with a serious concomitant medical illness. We extracted data following a predefined hierarchy. In network meta-analysis, we used group-level data. We assessed the studies’ risk of bias in accordance to the Cochrane Handbook for Systematic Reviews of Interventions, and certainty of evidence using the Grading of Recommendations Assessment, Development and Evaluation framework. Primary outcomes were efficacy (response rate) and acceptability (treatment discontinuations due to any cause). We estimated summary odds ratios (ORs) using pairwise and network meta-analysis with random effects. This study is registered with PROSPERO, number CRD42012002291.\n\nFindings:\n\nWe identified 28 552 citations and of these included 522 trials comprising 116 477 participants. In terms of efficacy, all antidepressants were more effective than placebo, with ORs ranging between 2.13 (95% credible interval [CrI] 1.89–2.41) for amitriptyline and 1.37 (1.16–1.63) for reboxetine. For acceptability, only agomelatine (OR 0.84, 95% CrI 0.72–0.97) and fluoxetine (0.88, 0.80–0.96) were associated with fewer dropouts than placebo, whereas clomipramine was worse than placebo (1.30, 1.01–1.68). When all trials were considered, differences in ORs between antidepressants ranged from 1.15 to 1.55 for efficacy and from 0.64 to 0.83 for acceptability, with wide CrIs on most of the comparative analyses. In head-to-head studies, agomelatine, amitriptyline, escitalopram, mirtazapine, paroxetine, venlafaxine, and vortioxetine were more effective than other antidepressants (range of ORs 1.19–1.96), whereas fluoxetine, fluvoxamine, reboxetine, and trazodone were the least efficacious drugs (0.51–0.84). For acceptability, agomelatine, citalopram, escitalopram, fluoxetine, sertraline, and vortioxetine were more tolerable than other antidepressants (range of ORs 0.43–0.77), whereas amitriptyline, clomipramine, duloxetine, fluvoxamine, reboxetine, trazodone, and venlafaxine had the highest dropout rates (1.30–2.32). 46 (9%) of 522 trials were rated as high risk of bias, 380 (73%) trials as moderate, and 96 (18%) as low; and the certainty of evidence was moderate to very low.\n\nInterpretation:\n\nAll antidepressants were more efficacious than placebo in adults with major depressive disorder. Smaller differences between active drugs were found when placebo-controlled trials were included in the analysis, whereas there was more variability in efficacy and acceptability in head-to-head trials. These results should serve evidence-based practice and inform patients, physicians, guideline developers, and policy makers on the relative merits of the different antidepressants.\n\n(Reprinted with permission from Lancet 2018; 391:1357-66)","container-title":"FOCUS","DOI":"10.1176/appi.focus.16407","ISSN":"1541-4094","issue":"4","journalAbbreviation":"FOC","note":"86 citations (Crossref) [2022-07-22]\npublisher: American Psychiatric Publishing","page":"420-429","source":"focus.psychiatryonline.org (Atypon)","title":"Comparative Efficacy and Acceptability of 21 Antidepressant Drugs for the Acute Treatment of Adults With Major Depressive Disorder: A Systematic Review and Network Meta-Analysis","title-short":"Comparative Efficacy and Acceptability of 21 Antidepressant Drugs for the Acute Treatment of Adults With Major Depressive Disorder","volume":"16","author":[{"family":"Cipriani","given":"Andrea"},{"family":"Furukawa","given":"Toshi A"},{"family":"Salanti","given":"Georgia"},{"family":"Chaimani","given":"Anna"},{"family":"Atkinson","given":"Lauren Z"},{"family":"Ogawa","given":"Yusuke"},{"family":"Leucht","given":"Stefan"},{"family":"Ruhe","given":"Henricus G"},{"family":"Turner","given":"Erick H"},{"family":"Higgins","given":"Julian P T"},{"family":"Egger","given":"Matthias"},{"family":"Takeshima","given":"Nozomi"},{"family":"Hayasaka","given":"Yu"},{"family":"Imai","given":"Hissei"},{"family":"Shinohara","given":"Kiyomi"},{"family":"Tajika","given":"Aran"},{"family":"Ioannidis","given":"John P A"},{"family":"Geddes","given":"John R"}],"issued":{"date-parts":[["2018",10,1]]}}}],"schema":"https://github.com/citation-style-language/schema/raw/master/csl-citation.json"} </w:instrText>
      </w:r>
      <w:r w:rsidR="0034252D">
        <w:fldChar w:fldCharType="separate"/>
      </w:r>
      <w:r w:rsidR="0034252D" w:rsidRPr="0034252D">
        <w:rPr>
          <w:rFonts w:cs="Arial"/>
        </w:rPr>
        <w:t>(Cipriani et al., 2018)</w:t>
      </w:r>
      <w:r w:rsidR="0034252D">
        <w:fldChar w:fldCharType="end"/>
      </w:r>
      <w:r w:rsidR="0034252D">
        <w:t>.</w:t>
      </w:r>
    </w:p>
    <w:p w14:paraId="2B0B69F0" w14:textId="77777777" w:rsidR="0034252D" w:rsidRDefault="0034252D" w:rsidP="0034252D"/>
    <w:p w14:paraId="17137DEA" w14:textId="1A574737" w:rsidR="00CB291D" w:rsidRDefault="00483A67" w:rsidP="00CB291D">
      <w:r>
        <w:t xml:space="preserve">We predict that the presence of blinding will not make a </w:t>
      </w:r>
      <w:r w:rsidR="004311D8">
        <w:t xml:space="preserve">practical </w:t>
      </w:r>
      <w:r>
        <w:t xml:space="preserve">difference </w:t>
      </w:r>
      <w:r w:rsidR="00A4114C">
        <w:t>for psychedelics</w:t>
      </w:r>
      <w:r w:rsidR="004311D8">
        <w:t xml:space="preserve"> </w:t>
      </w:r>
      <w:r>
        <w:t xml:space="preserve">as </w:t>
      </w:r>
      <w:r w:rsidR="00A4114C">
        <w:t xml:space="preserve">these </w:t>
      </w:r>
      <w:r>
        <w:t xml:space="preserve">trials are always effectively open-label. In contrast, we predict that for SSRIs </w:t>
      </w:r>
      <w:r w:rsidR="007F6F39">
        <w:t>blinding</w:t>
      </w:r>
      <w:r>
        <w:t xml:space="preserve"> makes a difference </w:t>
      </w:r>
      <w:r w:rsidR="007F6F39">
        <w:t xml:space="preserve">as in this case blinding works to </w:t>
      </w:r>
      <w:r w:rsidR="00F70F5A">
        <w:t>some</w:t>
      </w:r>
      <w:r w:rsidR="007F6F39">
        <w:t xml:space="preserve"> extent. </w:t>
      </w:r>
    </w:p>
    <w:p w14:paraId="0DCE42FD" w14:textId="77777777" w:rsidR="007F6F39" w:rsidRDefault="007F6F39" w:rsidP="00CB291D"/>
    <w:p w14:paraId="09ECA991" w14:textId="77777777" w:rsidR="00C61BD5" w:rsidRDefault="00C61BD5" w:rsidP="00CB291D"/>
    <w:p w14:paraId="2D6751E0" w14:textId="77777777" w:rsidR="00C61BD5" w:rsidRDefault="00C61BD5" w:rsidP="00CB291D"/>
    <w:p w14:paraId="39DF51BE" w14:textId="77777777" w:rsidR="00C61BD5" w:rsidRDefault="00C61BD5" w:rsidP="00CB291D"/>
    <w:p w14:paraId="55DCFCDC" w14:textId="77777777" w:rsidR="00C61BD5" w:rsidRDefault="00C61BD5" w:rsidP="00CB291D"/>
    <w:p w14:paraId="0D22346A" w14:textId="77777777" w:rsidR="00CB291D" w:rsidRDefault="00CB291D" w:rsidP="00CB291D"/>
    <w:p w14:paraId="0FD9CC0A" w14:textId="77777777" w:rsidR="00BA6613" w:rsidRDefault="00BA6613" w:rsidP="00D74E02">
      <w:pPr>
        <w:pStyle w:val="Heading1"/>
      </w:pPr>
    </w:p>
    <w:p w14:paraId="0399BE6D" w14:textId="77777777" w:rsidR="00A35609" w:rsidRPr="00A35609" w:rsidRDefault="00A35609" w:rsidP="00A35609"/>
    <w:p w14:paraId="00178C6E" w14:textId="77777777" w:rsidR="00BA6613" w:rsidRDefault="00BA6613" w:rsidP="00D74E02">
      <w:pPr>
        <w:pStyle w:val="Heading1"/>
      </w:pPr>
    </w:p>
    <w:p w14:paraId="61C4AEB7" w14:textId="317567B0" w:rsidR="009563AE" w:rsidRDefault="009563AE" w:rsidP="00D74E02">
      <w:pPr>
        <w:pStyle w:val="Heading1"/>
      </w:pPr>
      <w:r>
        <w:lastRenderedPageBreak/>
        <w:t>Dependent variable</w:t>
      </w:r>
    </w:p>
    <w:p w14:paraId="516F877C" w14:textId="77777777" w:rsidR="009563AE" w:rsidRDefault="009563AE" w:rsidP="009563AE"/>
    <w:p w14:paraId="5A9D5DED" w14:textId="492652C2" w:rsidR="008037CF" w:rsidRDefault="009563AE" w:rsidP="009563AE">
      <w:r w:rsidRPr="00844A6A">
        <w:t xml:space="preserve">The dependent variable will be </w:t>
      </w:r>
      <w:r w:rsidR="008037CF">
        <w:t xml:space="preserve">HAMD </w:t>
      </w:r>
      <w:r w:rsidRPr="00844A6A">
        <w:t>score</w:t>
      </w:r>
      <w:r w:rsidR="00766B7F" w:rsidRPr="00844A6A">
        <w:t xml:space="preserve"> at the primary endpoint</w:t>
      </w:r>
      <w:r w:rsidR="008037CF">
        <w:t>. BDI, MADRS and QIDS scores will also be collected and these will be converted to HAMD scores according to</w:t>
      </w:r>
      <w:r w:rsidR="00017B2F">
        <w:t xml:space="preserve"> previously established conversion formulas</w:t>
      </w:r>
      <w:r w:rsidR="008037CF">
        <w:t>:</w:t>
      </w:r>
    </w:p>
    <w:p w14:paraId="477E4808" w14:textId="535F90FB" w:rsidR="008037CF" w:rsidRDefault="008037CF" w:rsidP="008037CF">
      <w:pPr>
        <w:numPr>
          <w:ilvl w:val="0"/>
          <w:numId w:val="4"/>
        </w:numPr>
      </w:pPr>
      <w:r>
        <w:t>BDI to HAMD:</w:t>
      </w:r>
      <w:r w:rsidR="00A75AF5">
        <w:t xml:space="preserve"> </w:t>
      </w:r>
      <w:r w:rsidR="00A75AF5">
        <w:fldChar w:fldCharType="begin"/>
      </w:r>
      <w:r w:rsidR="00A75AF5">
        <w:instrText xml:space="preserve"> ADDIN ZOTERO_ITEM CSL_CITATION {"citationID":"pCb16fwn","properties":{"formattedCitation":"(Furukawa et al., 2019)","plainCitation":"(Furukawa et al., 2019)","noteIndex":0},"citationItems":[{"id":3262,"uris":["http://zotero.org/users/8057775/items/TQSAZRDH"],"itemData":{"id":3262,"type":"article-journal","abstract":"Aims\nThe Hamilton Depression Rating Scale (HAMD) and the Beck Depression Inventory (BDI) are the most frequently used observer-rated and self-report scales of depression, respectively. It is important to know what a given total score or a change score from baseline on one scale means in relation to the other scale.\n\nMethods\nWe obtained individual participant data from the randomised controlled trials of psychological and pharmacological treatments for major depressive disorders. We then identified corresponding scores of the HAMD and the BDI (369 patients from seven trials) or the BDI-II (683 patients from another seven trials) using the equipercentile linking method.\n\nResults\nThe HAMD total scores of 10, 20 and 30 corresponded approximately with the BDI scores of 10, 27 and 42 or with the BDI-II scores of 13, 32 and 50. The HAMD change scores of −20 and −10 with the BDI of −29 and −15 and with the BDI-II of −35 and −16.\n\nConclusions\nThe results can help clinicians interpret the HAMD or BDI scores of their patients in a more versatile manner and also help clinicians and researchers evaluate such scores reported in the literature or the database, when scores on only one of these scales are provided. We present a conversion table for future research.","container-title":"Epidemiology and Psychiatric Sciences","DOI":"10.1017/S2045796019000088","ISSN":"2045-7960","journalAbbreviation":"Epidemiol Psychiatr Sci","note":"PMID: 30867082\nPMCID: PMC8061209","page":"e24","source":"PubMed Central","title":"Translating the BDI and BDI-II into the HAMD and vice versa with equipercentile linking","volume":"29","author":[{"family":"Furukawa","given":"Toshi A."},{"family":"Reijnders","given":"Mirjam"},{"family":"Kishimoto","given":"Sanae"},{"family":"Sakata","given":"Masatsugu"},{"family":"DeRubeis","given":"Robert J."},{"family":"Dimidjian","given":"Sona"},{"family":"Dozois","given":"David J.A."},{"family":"Hegerl","given":"Ulrich"},{"family":"Hollon","given":"Steven D."},{"family":"Jarrett","given":"Robin B."},{"family":"Lespérance","given":"François"},{"family":"Segal","given":"Zindel V."},{"family":"Mohr","given":"David C."},{"family":"Simons","given":"Anne D."},{"family":"Quilty","given":"Lena C."},{"family":"Reynolds","given":"Charles F."},{"family":"Gentili","given":"Claudio"},{"family":"Leucht","given":"Stefan"},{"family":"Engel","given":"Rolf R."},{"family":"Cuijpers","given":"Pim"}],"issued":{"date-parts":[["2019",3,14]]}}}],"schema":"https://github.com/citation-style-language/schema/raw/master/csl-citation.json"} </w:instrText>
      </w:r>
      <w:r w:rsidR="00A75AF5">
        <w:fldChar w:fldCharType="separate"/>
      </w:r>
      <w:r w:rsidR="00A75AF5" w:rsidRPr="00A75AF5">
        <w:rPr>
          <w:rFonts w:cs="Arial"/>
        </w:rPr>
        <w:t>(Furukawa et al., 2019)</w:t>
      </w:r>
      <w:r w:rsidR="00A75AF5">
        <w:fldChar w:fldCharType="end"/>
      </w:r>
    </w:p>
    <w:p w14:paraId="2B601645" w14:textId="29F166C0" w:rsidR="008037CF" w:rsidRDefault="008037CF" w:rsidP="008037CF">
      <w:pPr>
        <w:numPr>
          <w:ilvl w:val="0"/>
          <w:numId w:val="4"/>
        </w:numPr>
      </w:pPr>
      <w:r>
        <w:t>MADRS to HAMD:</w:t>
      </w:r>
      <w:r w:rsidR="00A75AF5">
        <w:t xml:space="preserve"> </w:t>
      </w:r>
      <w:r w:rsidR="00A75AF5">
        <w:fldChar w:fldCharType="begin"/>
      </w:r>
      <w:r w:rsidR="00017B2F">
        <w:instrText xml:space="preserve"> ADDIN ZOTERO_ITEM CSL_CITATION {"citationID":"YM7gggBn","properties":{"formattedCitation":"(Leucht et al., 2018)","plainCitation":"(Leucht et al., 2018)","noteIndex":0},"citationItems":[{"id":3265,"uris":["http://zotero.org/users/8057775/items/R7RRDZZT"],"itemData":{"id":3265,"type":"article-journal","abstract":"Background\nThe Hamilton Depression Rating Scale (HAM-D) and the Montgomery Asberg Depression Rating Scale (MADRS) are scales used frequently to rate the symptoms of depression. There are many situations in which it is important to know what a given total score or a percent reduction from baseline score of one scale means in relation to the other scale.\nMethod\nWe used the equipercentile linking method to identify corresponding scores of simultaneous HAM-D and MADRS ratings in 4388 patients from 31 mirtazapine trials in major depressive disorder. Data were collected at baseline and at weeks 1, 2 and 4.\nResults\nHAM-D scores of 10, 20, 30 and 40 roughly corresponded to MADRS scores of 13, 26, 39 and 52–53, respectively. An absolute HAM-D improvement of 10, 20, 25 points corresponded to a MADRS improvement of 12, 26, and 34. A percentage improvement from baseline of the HAM-D was approximately the same as a percentage improvement on the MADRS.\nConclusion\nThese results are important for the comparison of trials that used the HAM-D and MADRS. We present conversion tables for future research.","container-title":"Journal of Affective Disorders","DOI":"10.1016/j.jad.2017.09.042","ISSN":"0165-0327","journalAbbreviation":"Journal of Affective Disorders","page":"326-331","source":"ScienceDirect","title":"Translating the HAM-D into the MADRS and vice versa with equipercentile linking","volume":"226","author":[{"family":"Leucht","given":"Stefan"},{"family":"Fennema","given":"Hein"},{"family":"Engel","given":"Rolf R."},{"family":"Kaspers-Janssen","given":"Marion"},{"family":"Szegedi","given":"Armin"}],"issued":{"date-parts":[["2018",1,15]]}}}],"schema":"https://github.com/citation-style-language/schema/raw/master/csl-citation.json"} </w:instrText>
      </w:r>
      <w:r w:rsidR="00A75AF5">
        <w:fldChar w:fldCharType="separate"/>
      </w:r>
      <w:r w:rsidR="00017B2F" w:rsidRPr="00017B2F">
        <w:rPr>
          <w:rFonts w:cs="Arial"/>
        </w:rPr>
        <w:t>(Leucht et al., 2018)</w:t>
      </w:r>
      <w:r w:rsidR="00A75AF5">
        <w:fldChar w:fldCharType="end"/>
      </w:r>
    </w:p>
    <w:p w14:paraId="1DA7C5EC" w14:textId="009D56A8" w:rsidR="008037CF" w:rsidRDefault="008037CF" w:rsidP="008037CF">
      <w:pPr>
        <w:numPr>
          <w:ilvl w:val="0"/>
          <w:numId w:val="4"/>
        </w:numPr>
      </w:pPr>
      <w:r>
        <w:t>QIDS to HAMD:</w:t>
      </w:r>
      <w:r w:rsidR="00017B2F">
        <w:t xml:space="preserve"> </w:t>
      </w:r>
      <w:r w:rsidR="00017B2F">
        <w:fldChar w:fldCharType="begin"/>
      </w:r>
      <w:r w:rsidR="00017B2F">
        <w:instrText xml:space="preserve"> ADDIN ZOTERO_ITEM CSL_CITATION {"citationID":"49FjAK9B","properties":{"formattedCitation":"(Rush et al., 2003)","plainCitation":"(Rush et al., 2003)","noteIndex":0},"citationItems":[{"id":1266,"uris":["http://zotero.org/users/8057775/items/7GMNDNQA"],"itemData":{"id":1266,"type":"article-journal","abstract":"The 16-item Quick Inventory of Depressive Symptomatology (QIDS), a new measure of depressive symptom severity derived from the 30-item Inventory of Depressive Symptomatology (IDS), is available in both self-report (QIDS-SR(16)) and clinician-rated (QIDS-C(16)) formats. This report evaluates and compares the psychometric properties of the QIDS-SR(16) in relation to the IDS-SR(30) and the 24-item Hamilton Rating Scale for Depression (HAM-D(24)) in 596 adult outpatients treated for chronic nonpsychotic, major depressive disorder. Internal consistency was high for the QIDS-SR(16) (Cronbach's alpha =.86), the IDS-SR(30) (Cronbach's alpha =.92), and the HAM-D(24) (Cronbach's alpha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 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settings.","container-title":"Biological Psychiatry","DOI":"10.1016/s0006-3223(02)01866-8","ISSN":"0006-3223","issue":"5","journalAbbreviation":"Biol Psychiatry","language":"eng","note":"2121 citations (Crossref) [2022-07-22]\nPMID: 12946886","page":"573-583","source":"PubMed","title":"The 16-Item Quick Inventory of Depressive Symptomatology (QIDS), clinician rating (QIDS-C), and self-report (QIDS-SR): a psychometric evaluation in patients with chronic major depression","title-short":"The 16-Item Quick Inventory of Depressive Symptomatology (QIDS), clinician rating (QIDS-C), and self-report (QIDS-SR)","volume":"54","author":[{"family":"Rush","given":"A.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B."}],"issued":{"date-parts":[["2003",9,1]]}}}],"schema":"https://github.com/citation-style-language/schema/raw/master/csl-citation.json"} </w:instrText>
      </w:r>
      <w:r w:rsidR="00017B2F">
        <w:fldChar w:fldCharType="separate"/>
      </w:r>
      <w:r w:rsidR="00017B2F" w:rsidRPr="00017B2F">
        <w:rPr>
          <w:rFonts w:cs="Arial"/>
        </w:rPr>
        <w:t>(Rush et al., 2003)</w:t>
      </w:r>
      <w:r w:rsidR="00017B2F">
        <w:fldChar w:fldCharType="end"/>
      </w:r>
    </w:p>
    <w:p w14:paraId="384F4D81" w14:textId="77777777" w:rsidR="00017B2F" w:rsidRDefault="00017B2F" w:rsidP="009563AE"/>
    <w:p w14:paraId="1F4F54F8" w14:textId="66C1EA88" w:rsidR="009563AE" w:rsidRDefault="00F84FA9" w:rsidP="009563AE">
      <w:r w:rsidRPr="00844A6A">
        <w:t xml:space="preserve">We will only consider trials that have a primary endpoint between 6 and 12 weeks. If multiple timepoints are available within this timeframe, </w:t>
      </w:r>
      <w:r w:rsidR="00766B7F" w:rsidRPr="00844A6A">
        <w:t xml:space="preserve">then </w:t>
      </w:r>
      <w:r w:rsidRPr="00844A6A">
        <w:t>we will use the timepoint that was defined as primary in the original publication. If the primary endpoint was not defined</w:t>
      </w:r>
      <w:r w:rsidR="004311D8">
        <w:t xml:space="preserve"> in the original study</w:t>
      </w:r>
      <w:r w:rsidRPr="00844A6A">
        <w:t>, we will use the timepoint that is closest to 10</w:t>
      </w:r>
      <w:r w:rsidR="00FA6DBA" w:rsidRPr="00844A6A">
        <w:t xml:space="preserve"> </w:t>
      </w:r>
      <w:r w:rsidRPr="00844A6A">
        <w:t>weeks.</w:t>
      </w:r>
      <w:r>
        <w:t xml:space="preserve"> </w:t>
      </w:r>
    </w:p>
    <w:p w14:paraId="2C7A572B" w14:textId="77777777" w:rsidR="00F84FA9" w:rsidRDefault="00F84FA9" w:rsidP="00D74E02">
      <w:pPr>
        <w:pStyle w:val="Heading1"/>
      </w:pPr>
    </w:p>
    <w:p w14:paraId="417B676A" w14:textId="68F8D117" w:rsidR="009563AE" w:rsidRDefault="009563AE" w:rsidP="00D74E02">
      <w:pPr>
        <w:pStyle w:val="Heading1"/>
      </w:pPr>
      <w:r>
        <w:t>Conditions</w:t>
      </w:r>
    </w:p>
    <w:p w14:paraId="363B25A0" w14:textId="77777777" w:rsidR="009563AE" w:rsidRDefault="009563AE" w:rsidP="009563AE"/>
    <w:p w14:paraId="161F35FB" w14:textId="3C2B142B" w:rsidR="009563AE" w:rsidRDefault="009563AE" w:rsidP="009563AE">
      <w:r>
        <w:t xml:space="preserve">Trials are included if they meet all of the inclusion and none of the exclusion criteria listed below. </w:t>
      </w:r>
    </w:p>
    <w:p w14:paraId="4666A344" w14:textId="77777777" w:rsidR="009563AE" w:rsidRDefault="009563AE" w:rsidP="009563AE"/>
    <w:p w14:paraId="6A9253AC" w14:textId="50485F68" w:rsidR="009563AE" w:rsidRDefault="009563AE" w:rsidP="00D74E02">
      <w:pPr>
        <w:pStyle w:val="Heading2"/>
      </w:pPr>
      <w:r>
        <w:t>Inclusion criteria</w:t>
      </w:r>
    </w:p>
    <w:p w14:paraId="5952BB8D" w14:textId="44A28CE6" w:rsidR="009563AE" w:rsidRDefault="009563AE" w:rsidP="000671BA">
      <w:pPr>
        <w:pStyle w:val="ListParagraph"/>
        <w:numPr>
          <w:ilvl w:val="0"/>
          <w:numId w:val="2"/>
        </w:numPr>
      </w:pPr>
      <w:r>
        <w:t xml:space="preserve">open-label treatment with a new generation antidepressant. We use the list provided by </w:t>
      </w:r>
      <w:r w:rsidR="00D55C34">
        <w:fldChar w:fldCharType="begin"/>
      </w:r>
      <w:r w:rsidR="00A75AF5">
        <w:instrText xml:space="preserve"> ADDIN ZOTERO_ITEM CSL_CITATION {"citationID":"sd1VtrLT","properties":{"formattedCitation":"(Cipriani et al., 2018)","plainCitation":"(Cipriani et al., 2018)","noteIndex":0},"citationItems":[{"id":712,"uris":["http://zotero.org/users/8057775/items/NDUK4XDP"],"itemData":{"id":712,"type":"article-journal","abstract":"Background:\n\nMajor depressive disorder is one of the most common, burdensome, and costly psychiatric disorders worldwide in adults. Pharmacological and non-pharmacological treatments are available; however, because of inadequate resources, antidepressants are used more frequently than psychological interventions. Prescription of these agents should be informed by the best available evidence. Therefore, we aimed to update and expand our previous work to compare and rank antidepressants for the acute treatment of adults with unipolar major depressive disorder.\n\nMethods:\n\nWe did a systematic review and network meta-analysis. We searched Cochrane Central Register of Controlled Trials, CINAHL, Embase, LILACS database, MEDLINE, MEDLINE In-Process, PsycINFO, the websites of regulatory agencies, and international registers for published and unpublished, double-blind, randomised controlled trials from their inception to Jan 8, 2016. We included placebo-controlled and head-to-head trials of 21 antidepressants used for the acute treatment of adults (≥18 years old and of both sexes) with major depressive disorder diagnosed according to standard operationalised criteria. We excluded quasi-randomised trials and trials that were incomplete or included 20% or more of participants with bipolar disorder, psychotic depression, or treatment-resistant depression; or patients with a serious concomitant medical illness. We extracted data following a predefined hierarchy. In network meta-analysis, we used group-level data. We assessed the studies’ risk of bias in accordance to the Cochrane Handbook for Systematic Reviews of Interventions, and certainty of evidence using the Grading of Recommendations Assessment, Development and Evaluation framework. Primary outcomes were efficacy (response rate) and acceptability (treatment discontinuations due to any cause). We estimated summary odds ratios (ORs) using pairwise and network meta-analysis with random effects. This study is registered with PROSPERO, number CRD42012002291.\n\nFindings:\n\nWe identified 28 552 citations and of these included 522 trials comprising 116 477 participants. In terms of efficacy, all antidepressants were more effective than placebo, with ORs ranging between 2.13 (95% credible interval [CrI] 1.89–2.41) for amitriptyline and 1.37 (1.16–1.63) for reboxetine. For acceptability, only agomelatine (OR 0.84, 95% CrI 0.72–0.97) and fluoxetine (0.88, 0.80–0.96) were associated with fewer dropouts than placebo, whereas clomipramine was worse than placebo (1.30, 1.01–1.68). When all trials were considered, differences in ORs between antidepressants ranged from 1.15 to 1.55 for efficacy and from 0.64 to 0.83 for acceptability, with wide CrIs on most of the comparative analyses. In head-to-head studies, agomelatine, amitriptyline, escitalopram, mirtazapine, paroxetine, venlafaxine, and vortioxetine were more effective than other antidepressants (range of ORs 1.19–1.96), whereas fluoxetine, fluvoxamine, reboxetine, and trazodone were the least efficacious drugs (0.51–0.84). For acceptability, agomelatine, citalopram, escitalopram, fluoxetine, sertraline, and vortioxetine were more tolerable than other antidepressants (range of ORs 0.43–0.77), whereas amitriptyline, clomipramine, duloxetine, fluvoxamine, reboxetine, trazodone, and venlafaxine had the highest dropout rates (1.30–2.32). 46 (9%) of 522 trials were rated as high risk of bias, 380 (73%) trials as moderate, and 96 (18%) as low; and the certainty of evidence was moderate to very low.\n\nInterpretation:\n\nAll antidepressants were more efficacious than placebo in adults with major depressive disorder. Smaller differences between active drugs were found when placebo-controlled trials were included in the analysis, whereas there was more variability in efficacy and acceptability in head-to-head trials. These results should serve evidence-based practice and inform patients, physicians, guideline developers, and policy makers on the relative merits of the different antidepressants.\n\n(Reprinted with permission from Lancet 2018; 391:1357-66)","container-title":"FOCUS","DOI":"10.1176/appi.focus.16407","ISSN":"1541-4094","issue":"4","journalAbbreviation":"FOC","note":"86 citations (Crossref) [2022-07-22]\npublisher: American Psychiatric Publishing","page":"420-429","source":"focus.psychiatryonline.org (Atypon)","title":"Comparative Efficacy and Acceptability of 21 Antidepressant Drugs for the Acute Treatment of Adults With Major Depressive Disorder: A Systematic Review and Network Meta-Analysis","title-short":"Comparative Efficacy and Acceptability of 21 Antidepressant Drugs for the Acute Treatment of Adults With Major Depressive Disorder","volume":"16","author":[{"family":"Cipriani","given":"Andrea"},{"family":"Furukawa","given":"Toshi A"},{"family":"Salanti","given":"Georgia"},{"family":"Chaimani","given":"Anna"},{"family":"Atkinson","given":"Lauren Z"},{"family":"Ogawa","given":"Yusuke"},{"family":"Leucht","given":"Stefan"},{"family":"Ruhe","given":"Henricus G"},{"family":"Turner","given":"Erick H"},{"family":"Higgins","given":"Julian P T"},{"family":"Egger","given":"Matthias"},{"family":"Takeshima","given":"Nozomi"},{"family":"Hayasaka","given":"Yu"},{"family":"Imai","given":"Hissei"},{"family":"Shinohara","given":"Kiyomi"},{"family":"Tajika","given":"Aran"},{"family":"Ioannidis","given":"John P A"},{"family":"Geddes","given":"John R"}],"issued":{"date-parts":[["2018",10,1]]}}}],"schema":"https://github.com/citation-style-language/schema/raw/master/csl-citation.json"} </w:instrText>
      </w:r>
      <w:r w:rsidR="00D55C34">
        <w:fldChar w:fldCharType="separate"/>
      </w:r>
      <w:r w:rsidR="00D55C34" w:rsidRPr="00D55C34">
        <w:rPr>
          <w:rFonts w:cs="Arial"/>
        </w:rPr>
        <w:t>(Cipriani et al., 2018)</w:t>
      </w:r>
      <w:r w:rsidR="00D55C34">
        <w:fldChar w:fldCharType="end"/>
      </w:r>
      <w:r w:rsidR="00D55C34">
        <w:t xml:space="preserve"> t</w:t>
      </w:r>
      <w:r>
        <w:t>o define what drugs are considered 'new generation antidepressant'</w:t>
      </w:r>
      <w:r w:rsidR="000671BA">
        <w:t xml:space="preserve"> </w:t>
      </w:r>
    </w:p>
    <w:p w14:paraId="523155F9" w14:textId="70EBD000" w:rsidR="00C753EF" w:rsidRDefault="009563AE" w:rsidP="009E7485">
      <w:pPr>
        <w:pStyle w:val="ListParagraph"/>
        <w:numPr>
          <w:ilvl w:val="0"/>
          <w:numId w:val="2"/>
        </w:numPr>
      </w:pPr>
      <w:r>
        <w:t xml:space="preserve">open-label or blind treatment with psychedelic-assisted therapy using a </w:t>
      </w:r>
      <w:r w:rsidR="00BA6613">
        <w:t>classic serotonergic psychedelic</w:t>
      </w:r>
      <w:r w:rsidR="009E7485">
        <w:t xml:space="preserve"> (</w:t>
      </w:r>
      <w:r w:rsidR="00FB11B4" w:rsidRPr="009E7485">
        <w:rPr>
          <w:sz w:val="24"/>
          <w:szCs w:val="24"/>
        </w:rPr>
        <w:t xml:space="preserve">Lysergic acid diethylamide / </w:t>
      </w:r>
      <w:r w:rsidR="00C753EF" w:rsidRPr="009E7485">
        <w:rPr>
          <w:sz w:val="24"/>
          <w:szCs w:val="24"/>
        </w:rPr>
        <w:t>LSD</w:t>
      </w:r>
      <w:r w:rsidR="009E7485">
        <w:rPr>
          <w:sz w:val="24"/>
          <w:szCs w:val="24"/>
        </w:rPr>
        <w:t>;</w:t>
      </w:r>
      <w:r w:rsidR="009E7485">
        <w:t xml:space="preserve"> </w:t>
      </w:r>
      <w:r w:rsidR="00C753EF" w:rsidRPr="009E7485">
        <w:rPr>
          <w:sz w:val="24"/>
          <w:szCs w:val="24"/>
        </w:rPr>
        <w:t>Psilocybin</w:t>
      </w:r>
      <w:r w:rsidR="00FB11B4" w:rsidRPr="009E7485">
        <w:rPr>
          <w:sz w:val="24"/>
          <w:szCs w:val="24"/>
        </w:rPr>
        <w:t xml:space="preserve"> / magic mushroom</w:t>
      </w:r>
      <w:r w:rsidR="009E7485">
        <w:t xml:space="preserve">; </w:t>
      </w:r>
      <w:r w:rsidR="00C753EF" w:rsidRPr="009E7485">
        <w:rPr>
          <w:sz w:val="24"/>
          <w:szCs w:val="24"/>
        </w:rPr>
        <w:t>Mescaline</w:t>
      </w:r>
      <w:r w:rsidR="00FB11B4" w:rsidRPr="009E7485">
        <w:rPr>
          <w:sz w:val="24"/>
          <w:szCs w:val="24"/>
        </w:rPr>
        <w:t xml:space="preserve"> / San Pedro / Peyote</w:t>
      </w:r>
      <w:r w:rsidR="009E7485">
        <w:t xml:space="preserve">; </w:t>
      </w:r>
      <w:r w:rsidR="00C753EF" w:rsidRPr="009E7485">
        <w:rPr>
          <w:sz w:val="24"/>
          <w:szCs w:val="24"/>
        </w:rPr>
        <w:t>DMT / Ayahuasca</w:t>
      </w:r>
      <w:r w:rsidR="009E7485">
        <w:rPr>
          <w:sz w:val="24"/>
          <w:szCs w:val="24"/>
        </w:rPr>
        <w:t>)</w:t>
      </w:r>
    </w:p>
    <w:p w14:paraId="3D06557A" w14:textId="1AA87849" w:rsidR="009563AE" w:rsidRDefault="009563AE" w:rsidP="000671BA">
      <w:pPr>
        <w:pStyle w:val="ListParagraph"/>
        <w:numPr>
          <w:ilvl w:val="0"/>
          <w:numId w:val="2"/>
        </w:numPr>
      </w:pPr>
      <w:r>
        <w:t>Patients diagnosed with major depressive disorder (MDD)</w:t>
      </w:r>
      <w:r w:rsidR="004311D8">
        <w:t xml:space="preserve"> or persistent depressive disorder (PDD) and a current major depressive episode</w:t>
      </w:r>
      <w:r>
        <w:t xml:space="preserve"> according to DSM criteria</w:t>
      </w:r>
    </w:p>
    <w:p w14:paraId="3709F60C" w14:textId="683F2A18" w:rsidR="009563AE" w:rsidRDefault="009563AE" w:rsidP="000671BA">
      <w:pPr>
        <w:pStyle w:val="ListParagraph"/>
        <w:numPr>
          <w:ilvl w:val="0"/>
          <w:numId w:val="2"/>
        </w:numPr>
      </w:pPr>
      <w:r>
        <w:t>Has a timepoint between 6 to 12 weeks of treatment</w:t>
      </w:r>
    </w:p>
    <w:p w14:paraId="14310434" w14:textId="1E161847" w:rsidR="009563AE" w:rsidRDefault="009563AE" w:rsidP="000671BA">
      <w:pPr>
        <w:pStyle w:val="ListParagraph"/>
        <w:numPr>
          <w:ilvl w:val="0"/>
          <w:numId w:val="2"/>
        </w:numPr>
      </w:pPr>
      <w:r>
        <w:t>Includes at least one of the HAMD / MADRS / BDI / QIDS measures. Various versions of these scales are allowed</w:t>
      </w:r>
      <w:r w:rsidR="004311D8">
        <w:t xml:space="preserve"> (e.g., both self-report and clinician-report QIDS; BDI and BDI-II)</w:t>
      </w:r>
    </w:p>
    <w:p w14:paraId="377AEA33" w14:textId="4238E271" w:rsidR="009563AE" w:rsidRDefault="009563AE" w:rsidP="000671BA">
      <w:pPr>
        <w:pStyle w:val="ListParagraph"/>
        <w:numPr>
          <w:ilvl w:val="0"/>
          <w:numId w:val="2"/>
        </w:numPr>
      </w:pPr>
      <w:r>
        <w:t>Adult population</w:t>
      </w:r>
      <w:r w:rsidR="00BA6613">
        <w:t xml:space="preserve">, i.e. </w:t>
      </w:r>
      <w:r>
        <w:t>18 &lt; mean age of patients &lt; 65</w:t>
      </w:r>
    </w:p>
    <w:p w14:paraId="01777FEC" w14:textId="77777777" w:rsidR="009563AE" w:rsidRDefault="009563AE" w:rsidP="009563AE"/>
    <w:p w14:paraId="60732898" w14:textId="048BED93" w:rsidR="009563AE" w:rsidRDefault="009563AE" w:rsidP="00D74E02">
      <w:pPr>
        <w:pStyle w:val="Heading2"/>
      </w:pPr>
      <w:r>
        <w:t>Exclusion criteria</w:t>
      </w:r>
    </w:p>
    <w:p w14:paraId="3CE94156" w14:textId="4B876A1A" w:rsidR="009563AE" w:rsidRDefault="009563AE" w:rsidP="00AB6FFD">
      <w:pPr>
        <w:numPr>
          <w:ilvl w:val="0"/>
          <w:numId w:val="7"/>
        </w:numPr>
      </w:pPr>
      <w:r>
        <w:t>Psychotic and / or inpatient population</w:t>
      </w:r>
    </w:p>
    <w:p w14:paraId="5B7C57AF" w14:textId="24FE40C3" w:rsidR="009563AE" w:rsidRDefault="009563AE" w:rsidP="00AB6FFD">
      <w:pPr>
        <w:numPr>
          <w:ilvl w:val="0"/>
          <w:numId w:val="7"/>
        </w:numPr>
      </w:pPr>
      <w:r>
        <w:t>Augmentation / drug combination trials</w:t>
      </w:r>
    </w:p>
    <w:p w14:paraId="4C3CAD70" w14:textId="49074019" w:rsidR="009563AE" w:rsidRDefault="009563AE" w:rsidP="00AB6FFD">
      <w:pPr>
        <w:numPr>
          <w:ilvl w:val="0"/>
          <w:numId w:val="7"/>
        </w:numPr>
      </w:pPr>
      <w:r>
        <w:t xml:space="preserve">Comorbid population, where majority of patients have a concurrent diagnosis of </w:t>
      </w:r>
      <w:r w:rsidR="004311D8">
        <w:t>one specific</w:t>
      </w:r>
      <w:r>
        <w:t xml:space="preserve"> medical </w:t>
      </w:r>
      <w:r w:rsidR="004311D8">
        <w:t xml:space="preserve">or psychiatric </w:t>
      </w:r>
      <w:r>
        <w:t>condition</w:t>
      </w:r>
      <w:r w:rsidR="004311D8">
        <w:t xml:space="preserve"> (or were purposefully recruited due to their having that condition), with the exception of</w:t>
      </w:r>
      <w:r>
        <w:t xml:space="preserve"> anxiety</w:t>
      </w:r>
      <w:r w:rsidR="004311D8">
        <w:t xml:space="preserve"> disorders</w:t>
      </w:r>
      <w:r>
        <w:t>. We make an exception for anxiety due its frequent co-occurrence with MDD</w:t>
      </w:r>
    </w:p>
    <w:p w14:paraId="4ED68BDC" w14:textId="3632CEF5" w:rsidR="009563AE" w:rsidRDefault="009563AE" w:rsidP="00AB6FFD">
      <w:pPr>
        <w:numPr>
          <w:ilvl w:val="0"/>
          <w:numId w:val="7"/>
        </w:numPr>
      </w:pPr>
      <w:r>
        <w:t xml:space="preserve">Trials that include run-in periods; i.e. any trial where the main treatment was preceded by </w:t>
      </w:r>
      <w:r w:rsidR="00E67E81">
        <w:t>another</w:t>
      </w:r>
      <w:r>
        <w:t xml:space="preserve"> treatment. However, data from the first period of such trials are allowed if that period otherwise meets all other criteria</w:t>
      </w:r>
      <w:r w:rsidR="00E67E81">
        <w:t xml:space="preserve"> (e.g.</w:t>
      </w:r>
      <w:r w:rsidR="004311D8">
        <w:t>,</w:t>
      </w:r>
      <w:r w:rsidR="00E67E81">
        <w:t xml:space="preserve"> </w:t>
      </w:r>
      <w:r w:rsidR="004311D8">
        <w:t xml:space="preserve">the open-label treatment portion of a randomized discontinuation </w:t>
      </w:r>
      <w:r w:rsidR="00E67E81">
        <w:t>trial)</w:t>
      </w:r>
    </w:p>
    <w:p w14:paraId="17C05F86" w14:textId="77777777" w:rsidR="009563AE" w:rsidRDefault="009563AE" w:rsidP="009563AE"/>
    <w:p w14:paraId="0BAFA0C9" w14:textId="77777777" w:rsidR="00AB6FFD" w:rsidRDefault="00AB6FFD" w:rsidP="009563AE"/>
    <w:p w14:paraId="28437908" w14:textId="4A2BD291" w:rsidR="000671BA" w:rsidRDefault="009563AE" w:rsidP="00A35609">
      <w:pPr>
        <w:pStyle w:val="ListParagraph"/>
        <w:ind w:left="0"/>
        <w:jc w:val="left"/>
      </w:pPr>
      <w:r w:rsidRPr="00487549">
        <w:t>To find relevant papers the PubMed Advanced Search Builder is used with (</w:t>
      </w:r>
      <w:hyperlink r:id="rId5" w:history="1">
        <w:r w:rsidR="000671BA" w:rsidRPr="00487549">
          <w:rPr>
            <w:rStyle w:val="Hyperlink"/>
          </w:rPr>
          <w:t>https://pubmed.ncbi.nlm.nih.gov/advanced/</w:t>
        </w:r>
      </w:hyperlink>
      <w:r w:rsidRPr="00487549">
        <w:t>)</w:t>
      </w:r>
      <w:r w:rsidR="000671BA" w:rsidRPr="00487549">
        <w:t xml:space="preserve">. The specific </w:t>
      </w:r>
      <w:r w:rsidRPr="00487549">
        <w:t>query</w:t>
      </w:r>
      <w:r w:rsidR="000671BA" w:rsidRPr="00487549">
        <w:t xml:space="preserve"> can be found</w:t>
      </w:r>
      <w:r w:rsidR="00487549" w:rsidRPr="00487549">
        <w:t xml:space="preserve"> on the project’s </w:t>
      </w:r>
      <w:proofErr w:type="spellStart"/>
      <w:r w:rsidR="00487549" w:rsidRPr="00487549">
        <w:t>github</w:t>
      </w:r>
      <w:proofErr w:type="spellEnd"/>
      <w:r w:rsidR="00487549" w:rsidRPr="00487549">
        <w:t xml:space="preserve"> page (</w:t>
      </w:r>
      <w:hyperlink r:id="rId6" w:history="1">
        <w:r w:rsidR="00AB6FFD" w:rsidRPr="00585E52">
          <w:rPr>
            <w:rStyle w:val="Hyperlink"/>
          </w:rPr>
          <w:t>https://github.com/szb37/PsyOLAD-registration.git</w:t>
        </w:r>
      </w:hyperlink>
      <w:r w:rsidR="00487549" w:rsidRPr="00487549">
        <w:t>)</w:t>
      </w:r>
      <w:r w:rsidR="00AB6FFD">
        <w:t xml:space="preserve"> for both open-label antidepressant (</w:t>
      </w:r>
      <w:r w:rsidR="00AB6FFD" w:rsidRPr="00487549">
        <w:rPr>
          <w:i/>
          <w:iCs/>
        </w:rPr>
        <w:t>OLAD_pubmed_search_phrase.md</w:t>
      </w:r>
      <w:r w:rsidR="00AB6FFD">
        <w:t>) and psychedelic (</w:t>
      </w:r>
      <w:r w:rsidR="00AB6FFD" w:rsidRPr="00AB6FFD">
        <w:rPr>
          <w:i/>
          <w:iCs/>
        </w:rPr>
        <w:t>PAT_pubmed_search_phrase.md</w:t>
      </w:r>
      <w:r w:rsidR="00AB6FFD">
        <w:t xml:space="preserve">) trials. </w:t>
      </w:r>
    </w:p>
    <w:p w14:paraId="5C6AE783" w14:textId="77777777" w:rsidR="00AB6FFD" w:rsidRDefault="00AB6FFD" w:rsidP="003D2719">
      <w:pPr>
        <w:pStyle w:val="ListParagraph"/>
        <w:jc w:val="left"/>
      </w:pPr>
    </w:p>
    <w:p w14:paraId="4CF6B90B" w14:textId="55481FE7" w:rsidR="0051795E" w:rsidRDefault="009563AE" w:rsidP="009563AE">
      <w:r>
        <w:lastRenderedPageBreak/>
        <w:t xml:space="preserve">For the open-label antidepressant trials, we plan to exclude trials that have </w:t>
      </w:r>
      <w:r w:rsidR="004311D8">
        <w:t xml:space="preserve">fewer </w:t>
      </w:r>
      <w:r>
        <w:t>than 100 participants. This decision is motivated by</w:t>
      </w:r>
      <w:r w:rsidR="00447612">
        <w:t xml:space="preserve"> </w:t>
      </w:r>
      <w:r>
        <w:t>practical reasons</w:t>
      </w:r>
      <w:r w:rsidR="00447612">
        <w:t xml:space="preserve">. </w:t>
      </w:r>
      <w:r w:rsidR="0051795E">
        <w:t xml:space="preserve">There </w:t>
      </w:r>
      <w:r w:rsidR="004311D8">
        <w:t xml:space="preserve">are </w:t>
      </w:r>
      <w:r w:rsidR="00363726">
        <w:t>several</w:t>
      </w:r>
      <w:r w:rsidR="0051795E">
        <w:t xml:space="preserve"> large sample (</w:t>
      </w:r>
      <w:r w:rsidR="0051795E" w:rsidRPr="008037CF">
        <w:rPr>
          <w:i/>
          <w:iCs/>
        </w:rPr>
        <w:t>n</w:t>
      </w:r>
      <w:r w:rsidR="0051795E">
        <w:t xml:space="preserve">&gt;500) </w:t>
      </w:r>
      <w:r w:rsidR="0051795E" w:rsidRPr="0051795E">
        <w:t>open-label antidepressant trials</w:t>
      </w:r>
      <w:r w:rsidR="004311D8">
        <w:t>,</w:t>
      </w:r>
      <w:r w:rsidR="0051795E">
        <w:t xml:space="preserve"> and due to inverse variance weighting, these will </w:t>
      </w:r>
      <w:r w:rsidR="00C722AF">
        <w:t xml:space="preserve">largely determine the </w:t>
      </w:r>
      <w:r w:rsidR="0051795E">
        <w:t xml:space="preserve">results. </w:t>
      </w:r>
      <w:r w:rsidR="00C722AF">
        <w:t>Small trials would only have a small influence but would add significant workload</w:t>
      </w:r>
      <w:r w:rsidR="00972FE1">
        <w:t xml:space="preserve"> that the project could not meet. </w:t>
      </w:r>
      <w:r w:rsidR="00972FE1" w:rsidRPr="00972FE1">
        <w:t>This minimum sample size requirement is not applied to psychedelic trials, because in th</w:t>
      </w:r>
      <w:r w:rsidR="00972FE1">
        <w:t>is</w:t>
      </w:r>
      <w:r w:rsidR="00972FE1" w:rsidRPr="00972FE1">
        <w:t xml:space="preserve"> case we expect a much lower </w:t>
      </w:r>
      <w:r w:rsidR="00972FE1">
        <w:t>number o</w:t>
      </w:r>
      <w:r w:rsidR="00972FE1" w:rsidRPr="00972FE1">
        <w:t xml:space="preserve">f trials </w:t>
      </w:r>
      <w:r w:rsidR="00972FE1">
        <w:t xml:space="preserve">to </w:t>
      </w:r>
      <w:r w:rsidR="004311D8">
        <w:t xml:space="preserve">have </w:t>
      </w:r>
      <w:r w:rsidR="00972FE1">
        <w:t>ever</w:t>
      </w:r>
      <w:r w:rsidR="004311D8">
        <w:t xml:space="preserve"> been</w:t>
      </w:r>
      <w:r w:rsidR="00972FE1">
        <w:t xml:space="preserve"> conducted. </w:t>
      </w:r>
    </w:p>
    <w:p w14:paraId="4CF20BDB" w14:textId="77777777" w:rsidR="009563AE" w:rsidRDefault="009563AE" w:rsidP="009563AE"/>
    <w:p w14:paraId="347C283A" w14:textId="5E519481" w:rsidR="00282447" w:rsidRDefault="009563AE" w:rsidP="009B45DC">
      <w:pPr>
        <w:pStyle w:val="Heading1"/>
      </w:pPr>
      <w:r>
        <w:t>Analyses</w:t>
      </w:r>
    </w:p>
    <w:p w14:paraId="2E18A472" w14:textId="77777777" w:rsidR="006C7C1D" w:rsidRPr="006C7C1D" w:rsidRDefault="006C7C1D" w:rsidP="006C7C1D"/>
    <w:p w14:paraId="75462CBE" w14:textId="35E4474F" w:rsidR="00C35975" w:rsidRDefault="00BA6613" w:rsidP="00D26F5D">
      <w:r>
        <w:t xml:space="preserve">Complete model formulations corresponding to each hypothesis can be found </w:t>
      </w:r>
      <w:r w:rsidR="00D26F5D">
        <w:t>on the project’s GitHub site,</w:t>
      </w:r>
      <w:r w:rsidR="0068313C">
        <w:t xml:space="preserve"> </w:t>
      </w:r>
      <w:hyperlink r:id="rId7" w:history="1">
        <w:r w:rsidR="0068313C" w:rsidRPr="009332EA">
          <w:rPr>
            <w:rStyle w:val="Hyperlink"/>
          </w:rPr>
          <w:t>https://github.com/szb37/PsyOLAD-registration.git</w:t>
        </w:r>
      </w:hyperlink>
      <w:r w:rsidR="0068313C">
        <w:t>,</w:t>
      </w:r>
      <w:r w:rsidR="00D26F5D">
        <w:t xml:space="preserve"> timestamped by GitHub.</w:t>
      </w:r>
      <w:r w:rsidR="006C7C1D">
        <w:t xml:space="preserve"> We provide both Bayesian </w:t>
      </w:r>
      <w:r w:rsidR="00B8063E">
        <w:t>(</w:t>
      </w:r>
      <w:proofErr w:type="spellStart"/>
      <w:r w:rsidR="00B8063E" w:rsidRPr="00B8063E">
        <w:rPr>
          <w:i/>
          <w:iCs/>
        </w:rPr>
        <w:t>PsyOLAD_Bayesian_analysis.Rmd</w:t>
      </w:r>
      <w:proofErr w:type="spellEnd"/>
      <w:r w:rsidR="00B8063E">
        <w:t xml:space="preserve">) </w:t>
      </w:r>
      <w:r w:rsidR="006C7C1D">
        <w:t xml:space="preserve">and frequentist models </w:t>
      </w:r>
      <w:r w:rsidR="00B8063E">
        <w:t>(</w:t>
      </w:r>
      <w:proofErr w:type="spellStart"/>
      <w:r w:rsidR="00B8063E" w:rsidRPr="00B8063E">
        <w:rPr>
          <w:i/>
          <w:iCs/>
        </w:rPr>
        <w:t>PsyOLAD_freq_analysis.r</w:t>
      </w:r>
      <w:proofErr w:type="spellEnd"/>
      <w:r w:rsidR="00B8063E">
        <w:t xml:space="preserve">) </w:t>
      </w:r>
      <w:r w:rsidR="006C7C1D">
        <w:t xml:space="preserve">to analyze the data. The Bayesian analysis should be considered as the primary analysis, while the frequentist models are secondary. The priors defined for the Bayesian models are based on internal discussions, these are subject to change </w:t>
      </w:r>
      <w:r w:rsidR="00C35975">
        <w:t>if model</w:t>
      </w:r>
      <w:r w:rsidR="00487549">
        <w:t>s</w:t>
      </w:r>
      <w:r w:rsidR="00C35975">
        <w:t xml:space="preserve"> do not converge</w:t>
      </w:r>
      <w:r w:rsidR="006C7C1D">
        <w:t xml:space="preserve">. </w:t>
      </w:r>
      <w:r w:rsidR="00C35975">
        <w:t xml:space="preserve">Additionally, we will explore possible modulatory effects of </w:t>
      </w:r>
      <w:r w:rsidR="00487549">
        <w:t>several</w:t>
      </w:r>
      <w:r w:rsidR="00C35975">
        <w:t xml:space="preserve"> trial related variables. We have no prior hypothesis for the role of these </w:t>
      </w:r>
      <w:r w:rsidR="00487549">
        <w:t>variables;</w:t>
      </w:r>
      <w:r w:rsidR="00C35975">
        <w:t xml:space="preserve"> thus, </w:t>
      </w:r>
      <w:r w:rsidR="00487549">
        <w:t>this analysis</w:t>
      </w:r>
      <w:r w:rsidR="00C35975">
        <w:t xml:space="preserve"> will be labelled as exploratory. </w:t>
      </w:r>
    </w:p>
    <w:p w14:paraId="78B9B19A" w14:textId="77777777" w:rsidR="009563AE" w:rsidRDefault="009563AE" w:rsidP="009563AE"/>
    <w:p w14:paraId="06DF5204" w14:textId="17961D44" w:rsidR="009563AE" w:rsidRDefault="009563AE" w:rsidP="009563AE">
      <w:pPr>
        <w:rPr>
          <w:rStyle w:val="Heading1Char"/>
        </w:rPr>
      </w:pPr>
      <w:r w:rsidRPr="00D74E02">
        <w:rPr>
          <w:rStyle w:val="Heading1Char"/>
        </w:rPr>
        <w:t>Outliers and Exclusions</w:t>
      </w:r>
    </w:p>
    <w:p w14:paraId="51F3AD9C" w14:textId="77777777" w:rsidR="00C35975" w:rsidRDefault="00C35975" w:rsidP="009563AE"/>
    <w:p w14:paraId="405A1AAD" w14:textId="77777777" w:rsidR="009563AE" w:rsidRDefault="009563AE" w:rsidP="009563AE">
      <w:r>
        <w:t>We plan the following robustness tests:</w:t>
      </w:r>
    </w:p>
    <w:p w14:paraId="1C51B634" w14:textId="0187D78A" w:rsidR="00F95B36" w:rsidRDefault="00F95B36" w:rsidP="009563AE">
      <w:r>
        <w:t>- Test each hypothesis using only week 8 data regardless whether it was designated as primary endpoint or not</w:t>
      </w:r>
    </w:p>
    <w:p w14:paraId="1C553884" w14:textId="79FF1984" w:rsidR="007E5F99" w:rsidRDefault="009563AE" w:rsidP="009563AE">
      <w:r>
        <w:t xml:space="preserve">- </w:t>
      </w:r>
      <w:r w:rsidR="00A12561">
        <w:t>T</w:t>
      </w:r>
      <w:r w:rsidR="003B1A9C">
        <w:t>est each hypothesis</w:t>
      </w:r>
      <w:r w:rsidR="00F95B36">
        <w:t xml:space="preserve"> </w:t>
      </w:r>
      <w:r w:rsidR="007E5F99">
        <w:t>using only self-rated measures</w:t>
      </w:r>
    </w:p>
    <w:p w14:paraId="3AC8C4FC" w14:textId="40A6B0DE" w:rsidR="007E5F99" w:rsidRDefault="007E5F99" w:rsidP="009563AE">
      <w:r>
        <w:t>- Test each hypothesis using only clinician-rated measures</w:t>
      </w:r>
    </w:p>
    <w:p w14:paraId="64703CD5" w14:textId="33C534B9" w:rsidR="00F95B36" w:rsidRPr="00F95B36" w:rsidRDefault="00A12561" w:rsidP="00A12561">
      <w:pPr>
        <w:jc w:val="left"/>
      </w:pPr>
      <w:r w:rsidRPr="00917058">
        <w:t>- Prior sensitivity checks</w:t>
      </w:r>
    </w:p>
    <w:p w14:paraId="253F6259" w14:textId="77777777" w:rsidR="00A12561" w:rsidRDefault="00A12561" w:rsidP="00A12561"/>
    <w:p w14:paraId="76EEE1FE" w14:textId="711218E2" w:rsidR="009563AE" w:rsidRDefault="009563AE" w:rsidP="009B45DC">
      <w:pPr>
        <w:pStyle w:val="Heading1"/>
      </w:pPr>
      <w:r>
        <w:t>Other</w:t>
      </w:r>
    </w:p>
    <w:p w14:paraId="2DBCEE8D" w14:textId="77777777" w:rsidR="00C35975" w:rsidRPr="00C35975" w:rsidRDefault="00C35975" w:rsidP="00C35975"/>
    <w:p w14:paraId="763F3068" w14:textId="2AFA8856" w:rsidR="00315CED" w:rsidRDefault="0055689E" w:rsidP="009563AE">
      <w:r>
        <w:t>W</w:t>
      </w:r>
      <w:r w:rsidR="00315CED" w:rsidRPr="00315CED">
        <w:t xml:space="preserve">e expect that </w:t>
      </w:r>
      <w:r w:rsidR="00D26F5D" w:rsidRPr="00315CED">
        <w:t>most</w:t>
      </w:r>
      <w:r w:rsidR="00315CED" w:rsidRPr="00315CED">
        <w:t xml:space="preserve"> trials will report </w:t>
      </w:r>
      <w:r>
        <w:t xml:space="preserve">only </w:t>
      </w:r>
      <w:r w:rsidR="00315CED" w:rsidRPr="00315CED">
        <w:t xml:space="preserve">the </w:t>
      </w:r>
      <w:r>
        <w:t>results from the</w:t>
      </w:r>
      <w:r w:rsidR="00315CED" w:rsidRPr="00315CED">
        <w:t xml:space="preserve"> </w:t>
      </w:r>
      <w:r w:rsidR="004311D8" w:rsidRPr="00315CED">
        <w:t>'inten</w:t>
      </w:r>
      <w:r w:rsidR="004311D8">
        <w:t>tion</w:t>
      </w:r>
      <w:r w:rsidR="004311D8" w:rsidRPr="00315CED">
        <w:t xml:space="preserve"> </w:t>
      </w:r>
      <w:r w:rsidR="00315CED" w:rsidRPr="00315CED">
        <w:t xml:space="preserve">to treat' sample with the 'last observation carried forward' (LOCF) imputation method. </w:t>
      </w:r>
      <w:r w:rsidRPr="0055689E">
        <w:t xml:space="preserve">However, when the 'completers' (or 'per protocol') sample is available that will be used in the analysis. </w:t>
      </w:r>
    </w:p>
    <w:p w14:paraId="639DF5EC" w14:textId="77777777" w:rsidR="00AB6FFD" w:rsidRDefault="00AB6FFD" w:rsidP="009563AE"/>
    <w:p w14:paraId="43BAA59A" w14:textId="77777777" w:rsidR="00AB6FFD" w:rsidRDefault="00AB6FFD" w:rsidP="00AB6FFD">
      <w:r>
        <w:t xml:space="preserve">Manuscripts describing secondary analysis are excluded, only primary analysis papers are included. If we find secondary analysis where the primary publication was not captured by the search above, the first paper reporting the trial results will be added. </w:t>
      </w:r>
    </w:p>
    <w:p w14:paraId="6A6FE813" w14:textId="77777777" w:rsidR="00AB6FFD" w:rsidRDefault="00AB6FFD" w:rsidP="00AB6FFD"/>
    <w:p w14:paraId="622706A7" w14:textId="77777777" w:rsidR="00AB6FFD" w:rsidRDefault="00AB6FFD" w:rsidP="00AB6FFD">
      <w:r>
        <w:t>Abstract screening, full text screening and data extraction from selected papers will be done independently by two members of the project, conflicts will be resolved by consensus.</w:t>
      </w:r>
    </w:p>
    <w:p w14:paraId="7CD43380" w14:textId="77777777" w:rsidR="00315CED" w:rsidRDefault="00315CED" w:rsidP="009563AE"/>
    <w:p w14:paraId="55940CC7" w14:textId="13F93B03" w:rsidR="00315CED" w:rsidRDefault="009563AE" w:rsidP="009563AE">
      <w:r>
        <w:t>At the time of this registration the abstract screening ha</w:t>
      </w:r>
      <w:r w:rsidR="00104D1D">
        <w:t>s already been conducted</w:t>
      </w:r>
      <w:r>
        <w:t xml:space="preserve">. This step was made prior to the registration to estimate how many trials will </w:t>
      </w:r>
      <w:r w:rsidR="00104D1D">
        <w:t>be included</w:t>
      </w:r>
      <w:r>
        <w:t xml:space="preserve"> in this analysis, thus, whether completing this project is feasible within the time</w:t>
      </w:r>
      <w:r w:rsidR="00104D1D">
        <w:t>frame</w:t>
      </w:r>
      <w:r w:rsidR="00363726">
        <w:t xml:space="preserve"> that the study team can commit</w:t>
      </w:r>
      <w:r>
        <w:t xml:space="preserve">. Furthermore both S.B. and H.B. extracted data from the same 4 papers already and crosschecked results. This was done as an exercise to ensure that the variables to be extracted are understood the same way. </w:t>
      </w:r>
    </w:p>
    <w:p w14:paraId="4CD4128B" w14:textId="77777777" w:rsidR="00017B2F" w:rsidRDefault="00017B2F" w:rsidP="009563AE"/>
    <w:p w14:paraId="1A18D58E" w14:textId="441864C6" w:rsidR="00017B2F" w:rsidRDefault="00017B2F" w:rsidP="00C35975">
      <w:pPr>
        <w:pStyle w:val="Heading1"/>
      </w:pPr>
      <w:r>
        <w:t>References</w:t>
      </w:r>
    </w:p>
    <w:p w14:paraId="750B76AB" w14:textId="77777777" w:rsidR="00AB6FFD" w:rsidRPr="00AB6FFD" w:rsidRDefault="00AB6FFD" w:rsidP="00AB6FFD"/>
    <w:p w14:paraId="4B07D732" w14:textId="77777777" w:rsidR="00935772" w:rsidRPr="00935772" w:rsidRDefault="00017B2F" w:rsidP="00935772">
      <w:pPr>
        <w:pStyle w:val="Bibliography"/>
        <w:rPr>
          <w:rFonts w:cs="Arial"/>
        </w:rPr>
      </w:pPr>
      <w:r>
        <w:lastRenderedPageBreak/>
        <w:fldChar w:fldCharType="begin"/>
      </w:r>
      <w:r w:rsidR="00935772">
        <w:instrText xml:space="preserve"> ADDIN ZOTERO_BIBL {"uncited":[],"omitted":[],"custom":[]} CSL_BIBLIOGRAPHY </w:instrText>
      </w:r>
      <w:r>
        <w:fldChar w:fldCharType="separate"/>
      </w:r>
      <w:r w:rsidR="00935772" w:rsidRPr="00935772">
        <w:rPr>
          <w:rFonts w:cs="Arial"/>
        </w:rPr>
        <w:t xml:space="preserve">Bogenschutz, M. P., Ross, S., Bhatt, S., Baron, T., Forcehimes, A. A., Laska, E., Mennenga, S. E., O’Donnell, K., Owens, L. T., Podrebarac, S., Rotrosen, J., Tonigan, J. S., &amp; Worth, L. (2022). Percentage of Heavy Drinking Days Following Psilocybin-Assisted Psychotherapy vs Placebo in the Treatment of Adult Patients With Alcohol Use Disorder: A Randomized Clinical Trial. </w:t>
      </w:r>
      <w:r w:rsidR="00935772" w:rsidRPr="00935772">
        <w:rPr>
          <w:rFonts w:cs="Arial"/>
          <w:i/>
          <w:iCs/>
        </w:rPr>
        <w:t>JAMA Psychiatry</w:t>
      </w:r>
      <w:r w:rsidR="00935772" w:rsidRPr="00935772">
        <w:rPr>
          <w:rFonts w:cs="Arial"/>
        </w:rPr>
        <w:t>. https://doi.org/10.1001/jamapsychiatry.2022.2096</w:t>
      </w:r>
    </w:p>
    <w:p w14:paraId="06D76479" w14:textId="77777777" w:rsidR="00935772" w:rsidRPr="00935772" w:rsidRDefault="00935772" w:rsidP="00935772">
      <w:pPr>
        <w:pStyle w:val="Bibliography"/>
        <w:rPr>
          <w:rFonts w:cs="Arial"/>
        </w:rPr>
      </w:pPr>
      <w:r w:rsidRPr="00935772">
        <w:rPr>
          <w:rFonts w:cs="Arial"/>
        </w:rPr>
        <w:t xml:space="preserve">Cipriani, A., Furukawa, T. A., Salanti, G., Chaimani, A., Atkinson, L. Z., Ogawa, Y., Leucht, S., Ruhe, H. G., Turner, E. H., Higgins, J. P. T., Egger, M., Takeshima, N., Hayasaka, Y., Imai, H., Shinohara, K., Tajika, A., Ioannidis, J. P. A., &amp; Geddes, J. R. (2018). Comparative Efficacy and Acceptability of 21 Antidepressant Drugs for the Acute Treatment of Adults With Major Depressive Disorder: A Systematic Review and Network Meta-Analysis. </w:t>
      </w:r>
      <w:r w:rsidRPr="00935772">
        <w:rPr>
          <w:rFonts w:cs="Arial"/>
          <w:i/>
          <w:iCs/>
        </w:rPr>
        <w:t>FOCUS</w:t>
      </w:r>
      <w:r w:rsidRPr="00935772">
        <w:rPr>
          <w:rFonts w:cs="Arial"/>
        </w:rPr>
        <w:t xml:space="preserve">, </w:t>
      </w:r>
      <w:r w:rsidRPr="00935772">
        <w:rPr>
          <w:rFonts w:cs="Arial"/>
          <w:i/>
          <w:iCs/>
        </w:rPr>
        <w:t>16</w:t>
      </w:r>
      <w:r w:rsidRPr="00935772">
        <w:rPr>
          <w:rFonts w:cs="Arial"/>
        </w:rPr>
        <w:t>(4), 420–429. https://doi.org/10.1176/appi.focus.16407</w:t>
      </w:r>
    </w:p>
    <w:p w14:paraId="10361821" w14:textId="77777777" w:rsidR="00935772" w:rsidRPr="00935772" w:rsidRDefault="00935772" w:rsidP="00935772">
      <w:pPr>
        <w:pStyle w:val="Bibliography"/>
        <w:rPr>
          <w:rFonts w:cs="Arial"/>
        </w:rPr>
      </w:pPr>
      <w:r w:rsidRPr="00935772">
        <w:rPr>
          <w:rFonts w:cs="Arial"/>
        </w:rPr>
        <w:t xml:space="preserve">Furukawa, T. A., Reijnders, M., Kishimoto, S., Sakata, M., DeRubeis, R. J., Dimidjian, S., Dozois, D. J. A., Hegerl, U., Hollon, S. D., Jarrett, R. B., Lespérance, F., Segal, Z. V., Mohr, D. C., Simons, A. D., Quilty, L. C., Reynolds, C. F., Gentili, C., Leucht, S., Engel, R. R., &amp; Cuijpers, P. (2019). Translating the BDI and BDI-II into the HAMD and vice versa with equipercentile linking. </w:t>
      </w:r>
      <w:r w:rsidRPr="00935772">
        <w:rPr>
          <w:rFonts w:cs="Arial"/>
          <w:i/>
          <w:iCs/>
        </w:rPr>
        <w:t>Epidemiology and Psychiatric Sciences</w:t>
      </w:r>
      <w:r w:rsidRPr="00935772">
        <w:rPr>
          <w:rFonts w:cs="Arial"/>
        </w:rPr>
        <w:t xml:space="preserve">, </w:t>
      </w:r>
      <w:r w:rsidRPr="00935772">
        <w:rPr>
          <w:rFonts w:cs="Arial"/>
          <w:i/>
          <w:iCs/>
        </w:rPr>
        <w:t>29</w:t>
      </w:r>
      <w:r w:rsidRPr="00935772">
        <w:rPr>
          <w:rFonts w:cs="Arial"/>
        </w:rPr>
        <w:t>, e24. https://doi.org/10.1017/S2045796019000088</w:t>
      </w:r>
    </w:p>
    <w:p w14:paraId="064856E0" w14:textId="77777777" w:rsidR="00935772" w:rsidRPr="00935772" w:rsidRDefault="00935772" w:rsidP="00935772">
      <w:pPr>
        <w:pStyle w:val="Bibliography"/>
        <w:rPr>
          <w:rFonts w:cs="Arial"/>
        </w:rPr>
      </w:pPr>
      <w:r w:rsidRPr="00935772">
        <w:rPr>
          <w:rFonts w:cs="Arial"/>
        </w:rPr>
        <w:t xml:space="preserve">Hengartner, M. P., &amp; Plöderl, M. (2022). Estimates of the minimal important difference to evaluate the clinical significance of antidepressants in the acute treatment of moderate-to-severe depression. </w:t>
      </w:r>
      <w:r w:rsidRPr="00935772">
        <w:rPr>
          <w:rFonts w:cs="Arial"/>
          <w:i/>
          <w:iCs/>
        </w:rPr>
        <w:t>BMJ Evidence-Based Medicine</w:t>
      </w:r>
      <w:r w:rsidRPr="00935772">
        <w:rPr>
          <w:rFonts w:cs="Arial"/>
        </w:rPr>
        <w:t xml:space="preserve">, </w:t>
      </w:r>
      <w:r w:rsidRPr="00935772">
        <w:rPr>
          <w:rFonts w:cs="Arial"/>
          <w:i/>
          <w:iCs/>
        </w:rPr>
        <w:t>27</w:t>
      </w:r>
      <w:r w:rsidRPr="00935772">
        <w:rPr>
          <w:rFonts w:cs="Arial"/>
        </w:rPr>
        <w:t>(2), 69–73. https://doi.org/10.1136/bmjebm-2020-111600</w:t>
      </w:r>
    </w:p>
    <w:p w14:paraId="20397B49" w14:textId="77777777" w:rsidR="00935772" w:rsidRPr="00935772" w:rsidRDefault="00935772" w:rsidP="00935772">
      <w:pPr>
        <w:pStyle w:val="Bibliography"/>
        <w:rPr>
          <w:rFonts w:cs="Arial"/>
        </w:rPr>
      </w:pPr>
      <w:r w:rsidRPr="00935772">
        <w:rPr>
          <w:rFonts w:cs="Arial"/>
        </w:rPr>
        <w:t xml:space="preserve">Leucht, S., Fennema, H., Engel, R. R., Kaspers-Janssen, M., &amp; Szegedi, A. (2018). Translating the HAM-D into the MADRS and vice versa with equipercentile linking. </w:t>
      </w:r>
      <w:r w:rsidRPr="00935772">
        <w:rPr>
          <w:rFonts w:cs="Arial"/>
          <w:i/>
          <w:iCs/>
        </w:rPr>
        <w:t>Journal of Affective Disorders</w:t>
      </w:r>
      <w:r w:rsidRPr="00935772">
        <w:rPr>
          <w:rFonts w:cs="Arial"/>
        </w:rPr>
        <w:t xml:space="preserve">, </w:t>
      </w:r>
      <w:r w:rsidRPr="00935772">
        <w:rPr>
          <w:rFonts w:cs="Arial"/>
          <w:i/>
          <w:iCs/>
        </w:rPr>
        <w:t>226</w:t>
      </w:r>
      <w:r w:rsidRPr="00935772">
        <w:rPr>
          <w:rFonts w:cs="Arial"/>
        </w:rPr>
        <w:t>, 326–331. https://doi.org/10.1016/j.jad.2017.09.042</w:t>
      </w:r>
    </w:p>
    <w:p w14:paraId="583B63EE" w14:textId="77777777" w:rsidR="00935772" w:rsidRPr="00935772" w:rsidRDefault="00935772" w:rsidP="00935772">
      <w:pPr>
        <w:pStyle w:val="Bibliography"/>
        <w:rPr>
          <w:rFonts w:cs="Arial"/>
        </w:rPr>
      </w:pPr>
      <w:r w:rsidRPr="00935772">
        <w:rPr>
          <w:rFonts w:cs="Arial"/>
        </w:rPr>
        <w:t xml:space="preserve">Lin, Y.-H., Sahker, E., Shinohara, K., Horinouchi, N., Ito, M., Lelliott, M., Cipriani, A., Tomlinson, A., Baethge, C., &amp; Furukawa, T. A. (2022). Assessment of blinding in randomized controlled trials of antidepressants for depressive disorders 2000–2020: A systematic review and meta-analysis. </w:t>
      </w:r>
      <w:r w:rsidRPr="00935772">
        <w:rPr>
          <w:rFonts w:cs="Arial"/>
          <w:i/>
          <w:iCs/>
        </w:rPr>
        <w:t>EClinicalMedicine</w:t>
      </w:r>
      <w:r w:rsidRPr="00935772">
        <w:rPr>
          <w:rFonts w:cs="Arial"/>
        </w:rPr>
        <w:t xml:space="preserve">, </w:t>
      </w:r>
      <w:r w:rsidRPr="00935772">
        <w:rPr>
          <w:rFonts w:cs="Arial"/>
          <w:i/>
          <w:iCs/>
        </w:rPr>
        <w:t>50</w:t>
      </w:r>
      <w:r w:rsidRPr="00935772">
        <w:rPr>
          <w:rFonts w:cs="Arial"/>
        </w:rPr>
        <w:t>, 101505. https://doi.org/10.1016/j.eclinm.2022.101505</w:t>
      </w:r>
    </w:p>
    <w:p w14:paraId="79757514" w14:textId="77777777" w:rsidR="00935772" w:rsidRPr="00935772" w:rsidRDefault="00935772" w:rsidP="00935772">
      <w:pPr>
        <w:pStyle w:val="Bibliography"/>
        <w:rPr>
          <w:rFonts w:cs="Arial"/>
        </w:rPr>
      </w:pPr>
      <w:r w:rsidRPr="00935772">
        <w:rPr>
          <w:rFonts w:cs="Arial"/>
        </w:rPr>
        <w:lastRenderedPageBreak/>
        <w:t xml:space="preserve">Rush, A. J., Trivedi, M. H., Ibrahim, H. M., Carmody, T. J., Arnow, B., Klein, D. N., Markowitz, J. C., Ninan, P. T., Kornstein, S., Manber, R., Thase, M. E., Kocsis, J. H., &amp; Keller, M. B. (2003). The 16-Item Quick Inventory of Depressive Symptomatology (QIDS), clinician rating (QIDS-C), and self-report (QIDS-SR): A psychometric evaluation in patients with chronic major depression. </w:t>
      </w:r>
      <w:r w:rsidRPr="00935772">
        <w:rPr>
          <w:rFonts w:cs="Arial"/>
          <w:i/>
          <w:iCs/>
        </w:rPr>
        <w:t>Biological Psychiatry</w:t>
      </w:r>
      <w:r w:rsidRPr="00935772">
        <w:rPr>
          <w:rFonts w:cs="Arial"/>
        </w:rPr>
        <w:t xml:space="preserve">, </w:t>
      </w:r>
      <w:r w:rsidRPr="00935772">
        <w:rPr>
          <w:rFonts w:cs="Arial"/>
          <w:i/>
          <w:iCs/>
        </w:rPr>
        <w:t>54</w:t>
      </w:r>
      <w:r w:rsidRPr="00935772">
        <w:rPr>
          <w:rFonts w:cs="Arial"/>
        </w:rPr>
        <w:t>(5), 573–583. https://doi.org/10.1016/s0006-3223(02)01866-8</w:t>
      </w:r>
    </w:p>
    <w:p w14:paraId="2A197561" w14:textId="77777777" w:rsidR="00935772" w:rsidRPr="00935772" w:rsidRDefault="00935772" w:rsidP="00935772">
      <w:pPr>
        <w:pStyle w:val="Bibliography"/>
        <w:rPr>
          <w:rFonts w:cs="Arial"/>
        </w:rPr>
      </w:pPr>
      <w:r w:rsidRPr="00935772">
        <w:rPr>
          <w:rFonts w:cs="Arial"/>
        </w:rPr>
        <w:t xml:space="preserve">Scott, A. J., Sharpe, L., &amp; Colagiuri, B. (2022). A systematic review and meta-analysis of the success of blinding in antidepressant RCTs. </w:t>
      </w:r>
      <w:r w:rsidRPr="00935772">
        <w:rPr>
          <w:rFonts w:cs="Arial"/>
          <w:i/>
          <w:iCs/>
        </w:rPr>
        <w:t>Psychiatry Research</w:t>
      </w:r>
      <w:r w:rsidRPr="00935772">
        <w:rPr>
          <w:rFonts w:cs="Arial"/>
        </w:rPr>
        <w:t xml:space="preserve">, </w:t>
      </w:r>
      <w:r w:rsidRPr="00935772">
        <w:rPr>
          <w:rFonts w:cs="Arial"/>
          <w:i/>
          <w:iCs/>
        </w:rPr>
        <w:t>307</w:t>
      </w:r>
      <w:r w:rsidRPr="00935772">
        <w:rPr>
          <w:rFonts w:cs="Arial"/>
        </w:rPr>
        <w:t>, 114297. https://doi.org/10.1016/j.psychres.2021.114297</w:t>
      </w:r>
    </w:p>
    <w:p w14:paraId="2DB8E07B" w14:textId="77777777" w:rsidR="00935772" w:rsidRPr="00935772" w:rsidRDefault="00935772" w:rsidP="00935772">
      <w:pPr>
        <w:pStyle w:val="Bibliography"/>
        <w:rPr>
          <w:rFonts w:cs="Arial"/>
        </w:rPr>
      </w:pPr>
      <w:r w:rsidRPr="00935772">
        <w:rPr>
          <w:rFonts w:cs="Arial"/>
        </w:rPr>
        <w:t xml:space="preserve">Szigeti, B., Nutt, D., Carhart-Harris, R., &amp; Erritzoe, D. (2023). The difference between ‘placebo group’ and ‘placebo control’: A case study in psychedelic microdosing. </w:t>
      </w:r>
      <w:r w:rsidRPr="00935772">
        <w:rPr>
          <w:rFonts w:cs="Arial"/>
          <w:i/>
          <w:iCs/>
        </w:rPr>
        <w:t>Scientific Reports</w:t>
      </w:r>
      <w:r w:rsidRPr="00935772">
        <w:rPr>
          <w:rFonts w:cs="Arial"/>
        </w:rPr>
        <w:t xml:space="preserve">, </w:t>
      </w:r>
      <w:r w:rsidRPr="00935772">
        <w:rPr>
          <w:rFonts w:cs="Arial"/>
          <w:i/>
          <w:iCs/>
        </w:rPr>
        <w:t>13</w:t>
      </w:r>
      <w:r w:rsidRPr="00935772">
        <w:rPr>
          <w:rFonts w:cs="Arial"/>
        </w:rPr>
        <w:t>(1), Article 1. https://doi.org/10.1038/s41598-023-34938-7</w:t>
      </w:r>
    </w:p>
    <w:p w14:paraId="548105DC" w14:textId="1E1A89D4" w:rsidR="004311D8" w:rsidRPr="004311D8" w:rsidRDefault="00017B2F" w:rsidP="009563AE">
      <w:r>
        <w:fldChar w:fldCharType="end"/>
      </w:r>
    </w:p>
    <w:sectPr w:rsidR="004311D8" w:rsidRPr="004311D8" w:rsidSect="009563AE">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2DF7"/>
    <w:multiLevelType w:val="hybridMultilevel"/>
    <w:tmpl w:val="D3F63196"/>
    <w:lvl w:ilvl="0" w:tplc="2CEE2E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57248"/>
    <w:multiLevelType w:val="hybridMultilevel"/>
    <w:tmpl w:val="F7200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31458"/>
    <w:multiLevelType w:val="hybridMultilevel"/>
    <w:tmpl w:val="7F8E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F33A9"/>
    <w:multiLevelType w:val="hybridMultilevel"/>
    <w:tmpl w:val="3604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10023"/>
    <w:multiLevelType w:val="hybridMultilevel"/>
    <w:tmpl w:val="0D8E3E2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FD603D3"/>
    <w:multiLevelType w:val="hybridMultilevel"/>
    <w:tmpl w:val="B3CAEB76"/>
    <w:lvl w:ilvl="0" w:tplc="2CEE2E9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F75C4B"/>
    <w:multiLevelType w:val="hybridMultilevel"/>
    <w:tmpl w:val="30F6C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2731835">
    <w:abstractNumId w:val="1"/>
  </w:num>
  <w:num w:numId="2" w16cid:durableId="2128041051">
    <w:abstractNumId w:val="6"/>
  </w:num>
  <w:num w:numId="3" w16cid:durableId="823157570">
    <w:abstractNumId w:val="2"/>
  </w:num>
  <w:num w:numId="4" w16cid:durableId="365835431">
    <w:abstractNumId w:val="0"/>
  </w:num>
  <w:num w:numId="5" w16cid:durableId="1618565507">
    <w:abstractNumId w:val="3"/>
  </w:num>
  <w:num w:numId="6" w16cid:durableId="173689565">
    <w:abstractNumId w:val="5"/>
  </w:num>
  <w:num w:numId="7" w16cid:durableId="1869444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F0"/>
    <w:rsid w:val="00017B2F"/>
    <w:rsid w:val="000671BA"/>
    <w:rsid w:val="000B0F5A"/>
    <w:rsid w:val="000F2F51"/>
    <w:rsid w:val="00104D1D"/>
    <w:rsid w:val="0014680C"/>
    <w:rsid w:val="002354CE"/>
    <w:rsid w:val="00282447"/>
    <w:rsid w:val="00315CED"/>
    <w:rsid w:val="0034252D"/>
    <w:rsid w:val="00363726"/>
    <w:rsid w:val="003B1A9C"/>
    <w:rsid w:val="003D2719"/>
    <w:rsid w:val="004311D8"/>
    <w:rsid w:val="00447612"/>
    <w:rsid w:val="00483A67"/>
    <w:rsid w:val="00487549"/>
    <w:rsid w:val="0051795E"/>
    <w:rsid w:val="00523863"/>
    <w:rsid w:val="0055689E"/>
    <w:rsid w:val="0058655A"/>
    <w:rsid w:val="005A6E22"/>
    <w:rsid w:val="005E300B"/>
    <w:rsid w:val="00630016"/>
    <w:rsid w:val="0068313C"/>
    <w:rsid w:val="00692375"/>
    <w:rsid w:val="006C5FD7"/>
    <w:rsid w:val="006C7C1D"/>
    <w:rsid w:val="007302F0"/>
    <w:rsid w:val="00762945"/>
    <w:rsid w:val="00766B7F"/>
    <w:rsid w:val="007E5F99"/>
    <w:rsid w:val="007F3A97"/>
    <w:rsid w:val="007F6F39"/>
    <w:rsid w:val="008037CF"/>
    <w:rsid w:val="008420B3"/>
    <w:rsid w:val="00844A6A"/>
    <w:rsid w:val="008C17BF"/>
    <w:rsid w:val="008E77A1"/>
    <w:rsid w:val="00902333"/>
    <w:rsid w:val="00917058"/>
    <w:rsid w:val="00935772"/>
    <w:rsid w:val="009563AE"/>
    <w:rsid w:val="00972FE1"/>
    <w:rsid w:val="009B45DC"/>
    <w:rsid w:val="009E7485"/>
    <w:rsid w:val="00A12561"/>
    <w:rsid w:val="00A35609"/>
    <w:rsid w:val="00A4114C"/>
    <w:rsid w:val="00A75AF5"/>
    <w:rsid w:val="00AB6FFD"/>
    <w:rsid w:val="00AC5C91"/>
    <w:rsid w:val="00B52CD7"/>
    <w:rsid w:val="00B8063E"/>
    <w:rsid w:val="00B9335D"/>
    <w:rsid w:val="00BA6613"/>
    <w:rsid w:val="00C32216"/>
    <w:rsid w:val="00C348A8"/>
    <w:rsid w:val="00C35975"/>
    <w:rsid w:val="00C35C0C"/>
    <w:rsid w:val="00C61BD5"/>
    <w:rsid w:val="00C722AF"/>
    <w:rsid w:val="00C753EF"/>
    <w:rsid w:val="00CB291D"/>
    <w:rsid w:val="00D26F5D"/>
    <w:rsid w:val="00D55C34"/>
    <w:rsid w:val="00D74E02"/>
    <w:rsid w:val="00D936D9"/>
    <w:rsid w:val="00DD37FB"/>
    <w:rsid w:val="00E129BF"/>
    <w:rsid w:val="00E33FA7"/>
    <w:rsid w:val="00E67E81"/>
    <w:rsid w:val="00F36CF2"/>
    <w:rsid w:val="00F70F5A"/>
    <w:rsid w:val="00F84FA9"/>
    <w:rsid w:val="00F95B36"/>
    <w:rsid w:val="00FA6DBA"/>
    <w:rsid w:val="00FB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3E8C"/>
  <w15:chartTrackingRefBased/>
  <w15:docId w15:val="{D683501A-EDF0-4128-B35D-6338A0D6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A1"/>
    <w:pPr>
      <w:jc w:val="both"/>
    </w:pPr>
  </w:style>
  <w:style w:type="paragraph" w:styleId="Heading1">
    <w:name w:val="heading 1"/>
    <w:basedOn w:val="Normal"/>
    <w:next w:val="Normal"/>
    <w:link w:val="Heading1Char"/>
    <w:uiPriority w:val="9"/>
    <w:qFormat/>
    <w:rsid w:val="00DD37FB"/>
    <w:pPr>
      <w:outlineLvl w:val="0"/>
    </w:pPr>
    <w:rPr>
      <w:b/>
      <w:bCs/>
      <w:sz w:val="24"/>
      <w:szCs w:val="24"/>
    </w:rPr>
  </w:style>
  <w:style w:type="paragraph" w:styleId="Heading2">
    <w:name w:val="heading 2"/>
    <w:basedOn w:val="Normal"/>
    <w:next w:val="Normal"/>
    <w:link w:val="Heading2Char"/>
    <w:uiPriority w:val="9"/>
    <w:unhideWhenUsed/>
    <w:qFormat/>
    <w:rsid w:val="00DD37FB"/>
    <w:pPr>
      <w:outlineLvl w:val="1"/>
    </w:pPr>
    <w:rPr>
      <w:u w:val="single"/>
    </w:rPr>
  </w:style>
  <w:style w:type="paragraph" w:styleId="Heading3">
    <w:name w:val="heading 3"/>
    <w:basedOn w:val="Normal"/>
    <w:next w:val="Normal"/>
    <w:link w:val="Heading3Char"/>
    <w:uiPriority w:val="9"/>
    <w:unhideWhenUsed/>
    <w:qFormat/>
    <w:rsid w:val="00B52CD7"/>
    <w:pPr>
      <w:outlineLvl w:val="2"/>
    </w:pPr>
  </w:style>
  <w:style w:type="paragraph" w:styleId="Heading4">
    <w:name w:val="heading 4"/>
    <w:basedOn w:val="Normal"/>
    <w:next w:val="Normal"/>
    <w:link w:val="Heading4Char"/>
    <w:uiPriority w:val="9"/>
    <w:unhideWhenUsed/>
    <w:rsid w:val="00B52C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B52CD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C35C0C"/>
    <w:pPr>
      <w:spacing w:line="240" w:lineRule="auto"/>
    </w:pPr>
  </w:style>
  <w:style w:type="character" w:styleId="SubtleEmphasis">
    <w:name w:val="Subtle Emphasis"/>
    <w:basedOn w:val="DefaultParagraphFont"/>
    <w:uiPriority w:val="19"/>
    <w:rsid w:val="00E129BF"/>
    <w:rPr>
      <w:i/>
      <w:iCs/>
      <w:color w:val="404040" w:themeColor="text1" w:themeTint="BF"/>
    </w:rPr>
  </w:style>
  <w:style w:type="paragraph" w:styleId="ListParagraph">
    <w:name w:val="List Paragraph"/>
    <w:basedOn w:val="Normal"/>
    <w:uiPriority w:val="34"/>
    <w:rsid w:val="00E129BF"/>
    <w:pPr>
      <w:ind w:left="720"/>
      <w:contextualSpacing/>
    </w:pPr>
  </w:style>
  <w:style w:type="paragraph" w:styleId="Quote">
    <w:name w:val="Quote"/>
    <w:basedOn w:val="Normal"/>
    <w:next w:val="Normal"/>
    <w:link w:val="QuoteChar"/>
    <w:uiPriority w:val="29"/>
    <w:rsid w:val="00E129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29BF"/>
    <w:rPr>
      <w:i/>
      <w:iCs/>
      <w:color w:val="404040" w:themeColor="text1" w:themeTint="BF"/>
    </w:rPr>
  </w:style>
  <w:style w:type="character" w:styleId="SubtleReference">
    <w:name w:val="Subtle Reference"/>
    <w:basedOn w:val="DefaultParagraphFont"/>
    <w:uiPriority w:val="31"/>
    <w:rsid w:val="00E129BF"/>
    <w:rPr>
      <w:smallCaps/>
      <w:color w:val="5A5A5A" w:themeColor="text1" w:themeTint="A5"/>
    </w:rPr>
  </w:style>
  <w:style w:type="character" w:styleId="BookTitle">
    <w:name w:val="Book Title"/>
    <w:basedOn w:val="DefaultParagraphFont"/>
    <w:uiPriority w:val="33"/>
    <w:rsid w:val="00E129BF"/>
    <w:rPr>
      <w:b/>
      <w:bCs/>
      <w:i/>
      <w:iCs/>
      <w:spacing w:val="5"/>
    </w:rPr>
  </w:style>
  <w:style w:type="character" w:styleId="IntenseReference">
    <w:name w:val="Intense Reference"/>
    <w:basedOn w:val="DefaultParagraphFont"/>
    <w:uiPriority w:val="32"/>
    <w:rsid w:val="00E129BF"/>
    <w:rPr>
      <w:b/>
      <w:bCs/>
      <w:smallCaps/>
      <w:color w:val="4472C4" w:themeColor="accent1"/>
      <w:spacing w:val="5"/>
    </w:rPr>
  </w:style>
  <w:style w:type="paragraph" w:styleId="IntenseQuote">
    <w:name w:val="Intense Quote"/>
    <w:basedOn w:val="Normal"/>
    <w:next w:val="Normal"/>
    <w:link w:val="IntenseQuoteChar"/>
    <w:uiPriority w:val="30"/>
    <w:rsid w:val="00E129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29BF"/>
    <w:rPr>
      <w:i/>
      <w:iCs/>
      <w:color w:val="4472C4" w:themeColor="accent1"/>
    </w:rPr>
  </w:style>
  <w:style w:type="character" w:styleId="Emphasis">
    <w:name w:val="Emphasis"/>
    <w:basedOn w:val="DefaultParagraphFont"/>
    <w:uiPriority w:val="20"/>
    <w:rsid w:val="00E129BF"/>
    <w:rPr>
      <w:i/>
      <w:iCs/>
    </w:rPr>
  </w:style>
  <w:style w:type="character" w:styleId="IntenseEmphasis">
    <w:name w:val="Intense Emphasis"/>
    <w:uiPriority w:val="21"/>
    <w:rsid w:val="00E129BF"/>
  </w:style>
  <w:style w:type="character" w:styleId="Strong">
    <w:name w:val="Strong"/>
    <w:basedOn w:val="DefaultParagraphFont"/>
    <w:uiPriority w:val="22"/>
    <w:rsid w:val="00E129BF"/>
    <w:rPr>
      <w:b/>
      <w:bCs/>
    </w:rPr>
  </w:style>
  <w:style w:type="paragraph" w:styleId="Title">
    <w:name w:val="Title"/>
    <w:basedOn w:val="Normal"/>
    <w:next w:val="Normal"/>
    <w:link w:val="TitleChar"/>
    <w:uiPriority w:val="10"/>
    <w:qFormat/>
    <w:rsid w:val="00DD37FB"/>
    <w:pPr>
      <w:jc w:val="center"/>
    </w:pPr>
    <w:rPr>
      <w:b/>
      <w:bCs/>
      <w:sz w:val="32"/>
      <w:szCs w:val="32"/>
    </w:rPr>
  </w:style>
  <w:style w:type="character" w:customStyle="1" w:styleId="TitleChar">
    <w:name w:val="Title Char"/>
    <w:basedOn w:val="DefaultParagraphFont"/>
    <w:link w:val="Title"/>
    <w:uiPriority w:val="10"/>
    <w:rsid w:val="00DD37FB"/>
    <w:rPr>
      <w:b/>
      <w:bCs/>
      <w:sz w:val="32"/>
      <w:szCs w:val="32"/>
    </w:rPr>
  </w:style>
  <w:style w:type="character" w:customStyle="1" w:styleId="Heading1Char">
    <w:name w:val="Heading 1 Char"/>
    <w:basedOn w:val="DefaultParagraphFont"/>
    <w:link w:val="Heading1"/>
    <w:uiPriority w:val="9"/>
    <w:rsid w:val="00DD37FB"/>
    <w:rPr>
      <w:b/>
      <w:bCs/>
      <w:sz w:val="24"/>
      <w:szCs w:val="24"/>
    </w:rPr>
  </w:style>
  <w:style w:type="character" w:customStyle="1" w:styleId="Heading2Char">
    <w:name w:val="Heading 2 Char"/>
    <w:basedOn w:val="DefaultParagraphFont"/>
    <w:link w:val="Heading2"/>
    <w:uiPriority w:val="9"/>
    <w:rsid w:val="00DD37FB"/>
    <w:rPr>
      <w:u w:val="single"/>
    </w:rPr>
  </w:style>
  <w:style w:type="character" w:customStyle="1" w:styleId="Heading3Char">
    <w:name w:val="Heading 3 Char"/>
    <w:basedOn w:val="DefaultParagraphFont"/>
    <w:link w:val="Heading3"/>
    <w:uiPriority w:val="9"/>
    <w:rsid w:val="00B52CD7"/>
  </w:style>
  <w:style w:type="paragraph" w:styleId="Subtitle">
    <w:name w:val="Subtitle"/>
    <w:basedOn w:val="Normal"/>
    <w:next w:val="Normal"/>
    <w:link w:val="SubtitleChar"/>
    <w:uiPriority w:val="11"/>
    <w:rsid w:val="00DD37FB"/>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D37FB"/>
    <w:rPr>
      <w:rFonts w:asciiTheme="minorHAnsi" w:eastAsiaTheme="minorEastAsia" w:hAnsiTheme="minorHAnsi"/>
      <w:color w:val="5A5A5A" w:themeColor="text1" w:themeTint="A5"/>
      <w:spacing w:val="15"/>
    </w:rPr>
  </w:style>
  <w:style w:type="character" w:customStyle="1" w:styleId="Heading5Char">
    <w:name w:val="Heading 5 Char"/>
    <w:basedOn w:val="DefaultParagraphFont"/>
    <w:link w:val="Heading5"/>
    <w:uiPriority w:val="9"/>
    <w:semiHidden/>
    <w:rsid w:val="00B52CD7"/>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B52CD7"/>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9563AE"/>
  </w:style>
  <w:style w:type="character" w:styleId="Hyperlink">
    <w:name w:val="Hyperlink"/>
    <w:basedOn w:val="DefaultParagraphFont"/>
    <w:uiPriority w:val="99"/>
    <w:unhideWhenUsed/>
    <w:rsid w:val="00766B7F"/>
    <w:rPr>
      <w:color w:val="0563C1" w:themeColor="hyperlink"/>
      <w:u w:val="single"/>
    </w:rPr>
  </w:style>
  <w:style w:type="character" w:styleId="UnresolvedMention">
    <w:name w:val="Unresolved Mention"/>
    <w:basedOn w:val="DefaultParagraphFont"/>
    <w:uiPriority w:val="99"/>
    <w:semiHidden/>
    <w:unhideWhenUsed/>
    <w:rsid w:val="00766B7F"/>
    <w:rPr>
      <w:color w:val="605E5C"/>
      <w:shd w:val="clear" w:color="auto" w:fill="E1DFDD"/>
    </w:rPr>
  </w:style>
  <w:style w:type="paragraph" w:styleId="Revision">
    <w:name w:val="Revision"/>
    <w:hidden/>
    <w:uiPriority w:val="99"/>
    <w:semiHidden/>
    <w:rsid w:val="004311D8"/>
    <w:pPr>
      <w:spacing w:line="240" w:lineRule="auto"/>
    </w:pPr>
  </w:style>
  <w:style w:type="character" w:styleId="CommentReference">
    <w:name w:val="annotation reference"/>
    <w:basedOn w:val="DefaultParagraphFont"/>
    <w:uiPriority w:val="99"/>
    <w:semiHidden/>
    <w:unhideWhenUsed/>
    <w:rsid w:val="004311D8"/>
    <w:rPr>
      <w:sz w:val="16"/>
      <w:szCs w:val="16"/>
    </w:rPr>
  </w:style>
  <w:style w:type="paragraph" w:styleId="CommentText">
    <w:name w:val="annotation text"/>
    <w:basedOn w:val="Normal"/>
    <w:link w:val="CommentTextChar"/>
    <w:uiPriority w:val="99"/>
    <w:semiHidden/>
    <w:unhideWhenUsed/>
    <w:rsid w:val="004311D8"/>
    <w:pPr>
      <w:spacing w:line="240" w:lineRule="auto"/>
    </w:pPr>
    <w:rPr>
      <w:sz w:val="20"/>
      <w:szCs w:val="20"/>
    </w:rPr>
  </w:style>
  <w:style w:type="character" w:customStyle="1" w:styleId="CommentTextChar">
    <w:name w:val="Comment Text Char"/>
    <w:basedOn w:val="DefaultParagraphFont"/>
    <w:link w:val="CommentText"/>
    <w:uiPriority w:val="99"/>
    <w:semiHidden/>
    <w:rsid w:val="004311D8"/>
    <w:rPr>
      <w:sz w:val="20"/>
      <w:szCs w:val="20"/>
    </w:rPr>
  </w:style>
  <w:style w:type="paragraph" w:styleId="CommentSubject">
    <w:name w:val="annotation subject"/>
    <w:basedOn w:val="CommentText"/>
    <w:next w:val="CommentText"/>
    <w:link w:val="CommentSubjectChar"/>
    <w:uiPriority w:val="99"/>
    <w:semiHidden/>
    <w:unhideWhenUsed/>
    <w:rsid w:val="004311D8"/>
    <w:rPr>
      <w:b/>
      <w:bCs/>
    </w:rPr>
  </w:style>
  <w:style w:type="character" w:customStyle="1" w:styleId="CommentSubjectChar">
    <w:name w:val="Comment Subject Char"/>
    <w:basedOn w:val="CommentTextChar"/>
    <w:link w:val="CommentSubject"/>
    <w:uiPriority w:val="99"/>
    <w:semiHidden/>
    <w:rsid w:val="004311D8"/>
    <w:rPr>
      <w:b/>
      <w:bCs/>
      <w:sz w:val="20"/>
      <w:szCs w:val="20"/>
    </w:rPr>
  </w:style>
  <w:style w:type="character" w:styleId="FollowedHyperlink">
    <w:name w:val="FollowedHyperlink"/>
    <w:basedOn w:val="DefaultParagraphFont"/>
    <w:uiPriority w:val="99"/>
    <w:semiHidden/>
    <w:unhideWhenUsed/>
    <w:rsid w:val="004311D8"/>
    <w:rPr>
      <w:color w:val="954F72" w:themeColor="followedHyperlink"/>
      <w:u w:val="single"/>
    </w:rPr>
  </w:style>
  <w:style w:type="paragraph" w:styleId="Bibliography">
    <w:name w:val="Bibliography"/>
    <w:basedOn w:val="Normal"/>
    <w:next w:val="Normal"/>
    <w:uiPriority w:val="37"/>
    <w:unhideWhenUsed/>
    <w:rsid w:val="00017B2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zb37/PsyOLAD-registr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zb37/PsyOLAD-registration.git"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6757</Words>
  <Characters>38520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Szigeti</dc:creator>
  <cp:keywords/>
  <dc:description/>
  <cp:lastModifiedBy>Balazs Szigeti</cp:lastModifiedBy>
  <cp:revision>19</cp:revision>
  <dcterms:created xsi:type="dcterms:W3CDTF">2023-06-10T06:27:00Z</dcterms:created>
  <dcterms:modified xsi:type="dcterms:W3CDTF">2023-09-05T10:17:00Z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id="GGOWp0fv"/&gt;&lt;style id="http://www.zotero.org/styles/apa" locale="en-US" hasBibliography="1" bibliographyStyleHasBeenSet="1"/&gt;&lt;prefs&gt;&lt;pref name="fieldType" value="Field"/&gt;&lt;/prefs&gt;&lt;/data&gt;</vt:lpwstr>
  </property>
  <property fmtid="{D5CDD505-2E9C-101B-9397-08002B2CF9AE}" pid="3" name="MSIP_Label_792c8cef-6f2b-4af1-b4ac-d815ff795cd6_Enabled">
    <vt:lpwstr>true</vt:lpwstr>
  </property>
  <property fmtid="{D5CDD505-2E9C-101B-9397-08002B2CF9AE}" pid="4" name="MSIP_Label_792c8cef-6f2b-4af1-b4ac-d815ff795cd6_SetDate">
    <vt:lpwstr>2023-06-10T06:27:09Z</vt:lpwstr>
  </property>
  <property fmtid="{D5CDD505-2E9C-101B-9397-08002B2CF9AE}" pid="5" name="MSIP_Label_792c8cef-6f2b-4af1-b4ac-d815ff795cd6_Method">
    <vt:lpwstr>Standard</vt:lpwstr>
  </property>
  <property fmtid="{D5CDD505-2E9C-101B-9397-08002B2CF9AE}" pid="6" name="MSIP_Label_792c8cef-6f2b-4af1-b4ac-d815ff795cd6_Name">
    <vt:lpwstr>VUMC General</vt:lpwstr>
  </property>
  <property fmtid="{D5CDD505-2E9C-101B-9397-08002B2CF9AE}" pid="7" name="MSIP_Label_792c8cef-6f2b-4af1-b4ac-d815ff795cd6_SiteId">
    <vt:lpwstr>ef575030-1424-4ed8-b83c-12c533d879ab</vt:lpwstr>
  </property>
  <property fmtid="{D5CDD505-2E9C-101B-9397-08002B2CF9AE}" pid="8" name="MSIP_Label_792c8cef-6f2b-4af1-b4ac-d815ff795cd6_ActionId">
    <vt:lpwstr>39010636-d3c4-4d76-8aeb-a127459c9c5e</vt:lpwstr>
  </property>
  <property fmtid="{D5CDD505-2E9C-101B-9397-08002B2CF9AE}" pid="9" name="MSIP_Label_792c8cef-6f2b-4af1-b4ac-d815ff795cd6_ContentBits">
    <vt:lpwstr>0</vt:lpwstr>
  </property>
</Properties>
</file>