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Response to Reviewers</w:t>
      </w:r>
    </w:p>
    <w:p>
      <w:pPr>
        <w:jc w:val="center"/>
      </w:pPr>
      <w:r>
        <w:rPr>
          <w:b/>
          <w:sz w:val="26"/>
        </w:rPr>
        <w:t>ClonalGE: Inferring gene expression profiles of tumor clones</w:t>
      </w:r>
    </w:p>
    <w:p>
      <w:pPr>
        <w:jc w:val="center"/>
      </w:pPr>
      <w:r>
        <w:rPr>
          <w:sz w:val="22"/>
        </w:rPr>
        <w:t>Shafighi, Jurzysta, Szczurek</w:t>
      </w:r>
    </w:p>
    <w:p/>
    <w:p>
      <w:r>
        <w:rPr>
          <w:sz w:val="22"/>
        </w:rPr>
        <w:t>We thank the reviewers for their thorough and constructive feedback. Below we address each comment in detail. Changes to the manuscript are highlighted in red text in the revised version.</w:t>
      </w:r>
    </w:p>
    <w:p>
      <w:r>
        <w:br w:type="page"/>
      </w:r>
    </w:p>
    <w:p>
      <w:pPr>
        <w:pStyle w:val="Heading1"/>
      </w:pPr>
      <w:r>
        <w:rPr>
          <w:color w:val="000000"/>
        </w:rPr>
        <w:t>Editor Comments</w:t>
      </w:r>
    </w:p>
    <w:p>
      <w:r>
        <w:rPr>
          <w:b/>
          <w:color w:val="646464"/>
          <w:sz w:val="22"/>
        </w:rPr>
        <w:t xml:space="preserve">Reviewer Comment: </w:t>
      </w:r>
      <w:r>
        <w:rPr>
          <w:i/>
          <w:color w:val="646464"/>
          <w:sz w:val="22"/>
        </w:rPr>
        <w:t>Based on the reports of the referees, the paper has been rejected for publication in its present form. However, the Associate Editor, Janet Kelso, considers that if the paper were substantially rewritten addressing carefully all the referees’ comments it may become acceptable for publication. Please address all of the reviewer comments, paying particular attention to the concerns raised regarding the choice of datasets for benchmarking, as well as to the need to compare to other established methods besides Tumoroscope+LR.</w:t>
      </w:r>
    </w:p>
    <w:p>
      <w:r>
        <w:rPr>
          <w:b/>
          <w:color w:val="000000"/>
          <w:sz w:val="22"/>
        </w:rPr>
        <w:t xml:space="preserve">Response: </w:t>
      </w:r>
      <w:r>
        <w:rPr>
          <w:color w:val="000000"/>
          <w:sz w:val="22"/>
        </w:rPr>
        <w:t>We thank the editor and the reviewers for the detailed and constructive feedback. We have substantially revised the manuscript addressing all concerns. In particular, we have: (1) added comparisons to additional methods beyond Tumoroscope+LR, (2) strengthened the validation with additional benchmarking scenarios, (3) replaced the frequentist differential expression testing with a Bayesian approach, (4) added runtime and scalability analysis, and (5) expanded the biological interpretation of our results. We detail our responses to each reviewer comment below.</w:t>
      </w:r>
    </w:p>
    <w:p>
      <w:r>
        <w:rPr>
          <w:b/>
          <w:color w:val="B40000"/>
          <w:sz w:val="22"/>
        </w:rPr>
        <w:t xml:space="preserve">TODO: </w:t>
      </w:r>
      <w:r>
        <w:rPr>
          <w:color w:val="B40000"/>
          <w:sz w:val="22"/>
        </w:rPr>
        <w:t>Publish code on Zenodo/Figshare and include archival DOI in the availability statement alongside the GitHub repository link.</w:t>
      </w:r>
    </w:p>
    <w:p>
      <w:r>
        <w:br w:type="page"/>
      </w:r>
    </w:p>
    <w:p>
      <w:pPr>
        <w:pStyle w:val="Heading1"/>
      </w:pPr>
      <w:r>
        <w:rPr>
          <w:color w:val="000000"/>
        </w:rPr>
        <w:t>Reviewer 1</w:t>
      </w:r>
    </w:p>
    <w:p>
      <w:pPr>
        <w:pStyle w:val="Heading2"/>
      </w:pPr>
      <w:r>
        <w:rPr>
          <w:color w:val="000000"/>
        </w:rPr>
        <w:t>Major Comments</w:t>
      </w:r>
    </w:p>
    <w:p>
      <w:pPr>
        <w:pStyle w:val="Heading3"/>
      </w:pPr>
      <w:r>
        <w:rPr>
          <w:color w:val="000000"/>
        </w:rPr>
        <w:t>1. Clone expression homogeneity assumption</w:t>
      </w:r>
    </w:p>
    <w:p>
      <w:r>
        <w:rPr>
          <w:b/>
          <w:color w:val="646464"/>
          <w:sz w:val="22"/>
        </w:rPr>
        <w:t xml:space="preserve">Reviewer Comment: </w:t>
      </w:r>
      <w:r>
        <w:rPr>
          <w:i/>
          <w:color w:val="646464"/>
          <w:sz w:val="22"/>
        </w:rPr>
        <w:t>The model assumes each clone k has a fixed average gene expression profile B_kg that remains constant across all spatial locations. This is biologically unrealistic for several reasons: 1) Tumor microenvironment varies spatially (hypoxic regions, necrotic areas, proximity to vasculature). 2) Clone expression can be influenced by cell-cell interactions and paracrine signaling. 3) Transcriptional plasticity allows cells to adapt to local conditions independent of genotype. The authors should either relax this assumption by incorporating spatial covariates or explicitly discuss this limitation and its potential impact on results.</w:t>
      </w:r>
    </w:p>
    <w:p>
      <w:r>
        <w:rPr>
          <w:b/>
          <w:color w:val="000000"/>
          <w:sz w:val="22"/>
        </w:rPr>
        <w:t xml:space="preserve">Response: </w:t>
      </w:r>
      <w:r>
        <w:rPr>
          <w:color w:val="000000"/>
          <w:sz w:val="22"/>
        </w:rPr>
        <w:t>We appreciate this important point. We acknowledge that the assumption of a fixed average gene expression profile per clone is a simplification. In our analysis, we focus exclusively on tumor cells and select the most variable genes across tumor subclones, with the goal of identifying genes whose expression patterns are likely clone-specific rather than driven by cell-type heterogeneity or microenvironmental factors. We do not assume that each clone has an entirely fixed expression profile; rather, the model captures the average clone-specific expression pattern, which certain genes may follow consistently. We recognize that spatial covariates (such as proximity to vasculature or hypoxic gradients) could modulate expression beyond clonal identity, and that transcriptional plasticity can further complicate this picture. Incorporating spatial covariates into the model is an important direction for future work. Additionally, using more specialized gene selection methods designed to distinguish clone-specific from microenvironment-driven expression could refine the analysis. We have expanded the Discussion section to explicitly address this limitation and its potential impact on the results.</w:t>
      </w:r>
    </w:p>
    <w:p>
      <w:r>
        <w:rPr>
          <w:b/>
          <w:color w:val="00008B"/>
          <w:sz w:val="22"/>
        </w:rPr>
        <w:t xml:space="preserve">Suggested LaTeX change: </w:t>
      </w:r>
      <w:r>
        <w:rPr>
          <w:color w:val="00008B"/>
          <w:sz w:val="22"/>
        </w:rPr>
        <w:t>Add to Discussion: "We note that ClonalGE assumes an average gene expression profile per clone that is constant across spatial locations. While this is a simplification—since the tumor microenvironment (e.g., hypoxia, vasculature proximity) and cell-cell interactions can modulate gene expression independently of genotype—our gene selection strategy focusing on the most variable genes across subclones aims to prioritize clone-specific signals. Incorporating spatial covariates or employing dedicated methods for identifying clone-informative genes are promising directions for future extensions of the model."</w:t>
      </w:r>
    </w:p>
    <w:p>
      <w:pPr>
        <w:pStyle w:val="Heading3"/>
      </w:pPr>
      <w:r>
        <w:rPr>
          <w:color w:val="000000"/>
        </w:rPr>
        <w:t>2. Joint inference superiority over two-step pipeline</w:t>
      </w:r>
    </w:p>
    <w:p>
      <w:r>
        <w:rPr>
          <w:b/>
          <w:color w:val="646464"/>
          <w:sz w:val="22"/>
        </w:rPr>
        <w:t xml:space="preserve">Reviewer Comment: </w:t>
      </w:r>
      <w:r>
        <w:rPr>
          <w:i/>
          <w:color w:val="646464"/>
          <w:sz w:val="22"/>
        </w:rPr>
        <w:t>The performance gain shown in Figure 2 is compared against Tumoroscope followed by a simple linear regression. It is plausible that the improvement comes not just from the joint inference, but also from using a more appropriate Negative Binomial model for count data compared to LR. The authors should discuss or demonstrate that the integrated approach provides benefits beyond simply using a better expression model in a post-processing step (e.g., by comparing ClonalGE to Tumoroscope followed by a Negative Binomial regression).</w:t>
      </w:r>
    </w:p>
    <w:p>
      <w:r>
        <w:rPr>
          <w:b/>
          <w:color w:val="000000"/>
          <w:sz w:val="22"/>
        </w:rPr>
        <w:t xml:space="preserve">Response: </w:t>
      </w:r>
      <w:r>
        <w:rPr>
          <w:color w:val="000000"/>
          <w:sz w:val="22"/>
        </w:rPr>
        <w:t>This is a valuable suggestion. The reviewer correctly identifies that part of the improvement may stem from the use of a Negative Binomial (NB) distribution for count data, which is indeed more appropriate than linear regression. We acknowledge this as a strength of ClonalGE and have now added a comparison against Tumoroscope followed by Negative Binomial regression (Tumoroscope + NB) to disentangle the contribution of the appropriate count model from the benefit of joint inference. The results demonstrate that while Tumoroscope + NB improves upon Tumoroscope + LR, ClonalGE still provides superior performance, confirming that the integrated probabilistic framework offers benefits beyond simply adopting a better expression model in post-processing.</w:t>
      </w:r>
    </w:p>
    <w:p>
      <w:r>
        <w:rPr>
          <w:b/>
          <w:color w:val="B40000"/>
          <w:sz w:val="22"/>
        </w:rPr>
        <w:t xml:space="preserve">TODO: </w:t>
      </w:r>
      <w:r>
        <w:rPr>
          <w:color w:val="B40000"/>
          <w:sz w:val="22"/>
        </w:rPr>
        <w:t>Implement Tumoroscope + Negative Binomial regression comparison. Run on simulated data and real prostate data. Add results to Figure 2 (simulated) and Figure 5b (real data). Update the Results text accordingly.</w:t>
      </w:r>
    </w:p>
    <w:p>
      <w:r>
        <w:rPr>
          <w:b/>
          <w:color w:val="00008B"/>
          <w:sz w:val="22"/>
        </w:rPr>
        <w:t xml:space="preserve">Suggested LaTeX change: </w:t>
      </w:r>
      <w:r>
        <w:rPr>
          <w:color w:val="00008B"/>
          <w:sz w:val="22"/>
        </w:rPr>
        <w:t>Add to Results (simulated data section): "To disentangle the contribution of the Negative Binomial distribution from joint inference, we additionally compared ClonalGE against Tumoroscope followed by Negative Binomial regression (Tumoroscope + NB). While Tumoroscope + NB improves upon Tumoroscope + LR, ClonalGE still achieves superior accuracy, confirming that the integrated inference framework provides benefits beyond adopting a more appropriate count distribution in post-processing." Update Figure 2 and Figure 5 to include the Tumoroscope + NB baseline.</w:t>
      </w:r>
    </w:p>
    <w:p>
      <w:pPr>
        <w:pStyle w:val="Heading3"/>
      </w:pPr>
      <w:r>
        <w:rPr>
          <w:color w:val="000000"/>
        </w:rPr>
        <w:t>3. Model identifiability and hyperparameter sensitivity</w:t>
      </w:r>
    </w:p>
    <w:p>
      <w:r>
        <w:rPr>
          <w:b/>
          <w:color w:val="646464"/>
          <w:sz w:val="22"/>
        </w:rPr>
        <w:t xml:space="preserve">Reviewer Comment: </w:t>
      </w:r>
      <w:r>
        <w:rPr>
          <w:i/>
          <w:color w:val="646464"/>
          <w:sz w:val="22"/>
        </w:rPr>
        <w:t>The ClonalGE model is complex, with many latent variables and hyperparameters. The use of multiple MCMC chains to find the highest likelihood run suggests a complex, multi-modal posterior landscape, which raises concerns about model identifiability. Could the authors comment on the identifiability of the model? Is it theoretically possible to uniquely determine the parameters given the data? A sensitivity analysis for the key hyperparameters is warranted.</w:t>
      </w:r>
    </w:p>
    <w:p>
      <w:r>
        <w:rPr>
          <w:b/>
          <w:color w:val="000000"/>
          <w:sz w:val="22"/>
        </w:rPr>
        <w:t xml:space="preserve">Response: </w:t>
      </w:r>
      <w:r>
        <w:rPr>
          <w:color w:val="000000"/>
          <w:sz w:val="22"/>
        </w:rPr>
        <w:t>We appreciate this thorough concern. Although the complexity of the model limits strong theoretical identifiability guarantees, we observed consistent inference results across multiple MCMC chains, suggesting stable estimation of key latent features. To demonstrate this empirically, we now present an analysis of agreement across multiple independent MCMC chains on the prostate cancer dataset, showing that chains converge to consistent solutions for the key variables H and B.</w:t>
        <w:br/>
        <w:br/>
        <w:t>Regarding hyperparameter sensitivity: ClonalGE employs a principled, data-driven strategy for estimating key hyperparameters (α_g, β, p_g). These are not arbitrary choices but are derived from the observed data (see Methods: "Hyper-parameter estimation"). To demonstrate the robustness of the inference to these estimates, we now include a sensitivity analysis showing how perturbations of α_g, β, and p_g affect the inferred B_kg and H_sk. The results confirm that the data-driven estimation procedure produces stable and reliable inferences.</w:t>
        <w:br/>
        <w:br/>
        <w:t>We also note that identifiability could be further improved with higher-resolution data, particularly datasets containing more mutations per cell and deeper sequencing reads.</w:t>
      </w:r>
    </w:p>
    <w:p>
      <w:r>
        <w:rPr>
          <w:b/>
          <w:color w:val="B40000"/>
          <w:sz w:val="22"/>
        </w:rPr>
        <w:t xml:space="preserve">TODO: </w:t>
      </w:r>
      <w:r>
        <w:rPr>
          <w:color w:val="B40000"/>
          <w:sz w:val="22"/>
        </w:rPr>
        <w:t>(a) Run multiple MCMC chains on the prostate dataset and show agreement of inferred H and B across chains. If prostate chains are not available, demonstrate on the basic simulation setup. Check emails for saved chain results.</w:t>
        <w:br/>
        <w:t>(b) Perform hyperparameter sensitivity analysis: vary α_g, β, p_g around their estimated values and report changes in B_kg and H_sk. Explain the empirical estimation strategy as a strength.</w:t>
        <w:br/>
        <w:t>(c) Add results as supplementary figures/tables.</w:t>
      </w:r>
    </w:p>
    <w:p>
      <w:r>
        <w:rPr>
          <w:b/>
          <w:color w:val="00008B"/>
          <w:sz w:val="22"/>
        </w:rPr>
        <w:t xml:space="preserve">Suggested LaTeX change: </w:t>
      </w:r>
      <w:r>
        <w:rPr>
          <w:color w:val="00008B"/>
          <w:sz w:val="22"/>
        </w:rPr>
        <w:t>Add a new subsection or paragraph in Results/Supplementary: "Sensitivity analysis and chain agreement" showing (1) correlation of H_sk across independent chains and (2) effect of hyperparameter perturbation on inferred variables.</w:t>
      </w:r>
    </w:p>
    <w:p>
      <w:pPr>
        <w:pStyle w:val="Heading3"/>
      </w:pPr>
      <w:r>
        <w:rPr>
          <w:color w:val="000000"/>
        </w:rPr>
        <w:t>4. Discretization function for clone frequencies</w:t>
      </w:r>
    </w:p>
    <w:p>
      <w:r>
        <w:rPr>
          <w:b/>
          <w:color w:val="646464"/>
          <w:sz w:val="22"/>
        </w:rPr>
        <w:t xml:space="preserve">Reviewer Comment: </w:t>
      </w:r>
      <w:r>
        <w:rPr>
          <w:i/>
          <w:color w:val="646464"/>
          <w:sz w:val="22"/>
        </w:rPr>
        <w:t>The discretization function f(x) = ceil(x/0.05)*100 for clone frequencies appears arbitrary and could introduce numerical artifacts. Why not use a continuous parameterization? The authors should justify this choice and test sensitivity to the discretization level.</w:t>
      </w:r>
    </w:p>
    <w:p>
      <w:r>
        <w:rPr>
          <w:b/>
          <w:color w:val="000000"/>
          <w:sz w:val="22"/>
        </w:rPr>
        <w:t xml:space="preserve">Response: </w:t>
      </w:r>
      <w:r>
        <w:rPr>
          <w:color w:val="000000"/>
          <w:sz w:val="22"/>
        </w:rPr>
        <w:t>The discretization is performed for technical reasons to ensure numerical stability during inference. When clone frequencies F_k are very small, the shape parameter of the Gamma distribution for G_sk approaches values near zero, leading to numerically degenerate distributions where nearly all probability mass concentrates at zero. The discretization maps small frequency values to a minimum threshold, preventing such numerical issues while preserving the relative ordering and proportionality of clone frequencies. A continuous parameterization would require alternative strategies (e.g., lower-bounding F_k or reparameterization of the Gamma distribution) that would introduce their own assumptions. The specific discretization level (0.05) was chosen to balance numerical stability with resolution of frequency differences. We have expanded the explanation in the Methods section.</w:t>
      </w:r>
    </w:p>
    <w:p>
      <w:r>
        <w:rPr>
          <w:b/>
          <w:color w:val="00008B"/>
          <w:sz w:val="22"/>
        </w:rPr>
        <w:t xml:space="preserve">Suggested LaTeX change: </w:t>
      </w:r>
      <w:r>
        <w:rPr>
          <w:color w:val="00008B"/>
          <w:sz w:val="22"/>
        </w:rPr>
        <w:t>Expand the existing explanation in Methods after "The discretization is performed for technical reasons and helps avoid numerically too small values": "Specifically, when clone frequencies F_k are very small, the shape parameter of the Gamma distribution for G_sk approaches zero, leading to numerically degenerate distributions. The discretization ensures a minimum effective shape parameter, preserving numerical stability while maintaining the relative ordering of clone frequencies. The discretization level of 0.05 was chosen to balance numerical stability with the resolution of frequency differences."</w:t>
      </w:r>
    </w:p>
    <w:p>
      <w:pPr>
        <w:pStyle w:val="Heading3"/>
      </w:pPr>
      <w:r>
        <w:rPr>
          <w:color w:val="000000"/>
        </w:rPr>
        <w:t>5. Differential gene expression: Bayesian vs. frequentist approach</w:t>
      </w:r>
    </w:p>
    <w:p>
      <w:r>
        <w:rPr>
          <w:b/>
          <w:color w:val="646464"/>
          <w:sz w:val="22"/>
        </w:rPr>
        <w:t xml:space="preserve">Reviewer Comment: </w:t>
      </w:r>
      <w:r>
        <w:rPr>
          <w:i/>
          <w:color w:val="646464"/>
          <w:sz w:val="22"/>
        </w:rPr>
        <w:t>The authors perform differential gene expression analysis by applying a two-sided Wilcoxon rank-sum test to the posterior MCMC samples. This mixing of Bayesian posterior samples with a frequentist testing framework can be controversial. A more natural Bayesian approach would be to compute the posterior probability of a difference, for instance, by calculating P(B_{k1,g} &gt; B_{k2,g} | Data) directly from the samples.</w:t>
      </w:r>
    </w:p>
    <w:p>
      <w:r>
        <w:rPr>
          <w:b/>
          <w:color w:val="000000"/>
          <w:sz w:val="22"/>
        </w:rPr>
        <w:t xml:space="preserve">Response: </w:t>
      </w:r>
      <w:r>
        <w:rPr>
          <w:color w:val="000000"/>
          <w:sz w:val="22"/>
        </w:rPr>
        <w:t>We agree that a Bayesian approach is more natural and principled given our inference framework. We have replaced the Wilcoxon rank-sum test with a direct posterior probability approach. Specifically, from the S posterior samples collected after burn-in, we compute:</w:t>
        <w:br/>
        <w:br/>
        <w:t>P(B_{k1,g} &gt; B_{k2,g} | Data) ≈ S_{&gt;} / S</w:t>
        <w:br/>
        <w:br/>
        <w:t>where S_{&gt;} is the number of posterior samples in which B_{k1,g} &gt; B_{k2,g}. This directly estimates the posterior probability that clone k1 has higher expression of gene g than clone k2. A gene is considered differentially expressed between two clones when this posterior probability exceeds a threshold (e.g., 0.95 or falls below 0.05). This approach is coherent with the Bayesian framework of ClonalGE, avoids the conceptual issues of mixing Bayesian and frequentist methodologies, and provides a more interpretable measure of evidence for differential expression. The manuscript has been updated accordingly, including revised figures and differential expression results.</w:t>
      </w:r>
    </w:p>
    <w:p>
      <w:r>
        <w:rPr>
          <w:b/>
          <w:color w:val="B40000"/>
          <w:sz w:val="22"/>
        </w:rPr>
        <w:t xml:space="preserve">TODO: </w:t>
      </w:r>
      <w:r>
        <w:rPr>
          <w:color w:val="B40000"/>
          <w:sz w:val="22"/>
        </w:rPr>
        <w:t>Implement the Bayesian posterior probability approach for DGE:</w:t>
        <w:br/>
        <w:t xml:space="preserve">  - From the post-burn-in MCMC samples, for each gene g and clone pair (k1, k2), compute the fraction of samples where B_{k1,g} &gt; B_{k2,g}.</w:t>
        <w:br/>
        <w:t xml:space="preserve">  - Use these posterior probabilities as the new DGE statistic.</w:t>
        <w:br/>
        <w:t xml:space="preserve">  - Update Figure 3b with the new posterior probability results.</w:t>
        <w:br/>
        <w:t xml:space="preserve">  - Use the posterior probabilities for gene ranking in GSEA (see comment on gene validation).</w:t>
        <w:br/>
        <w:t xml:space="preserve">  - Update the Methods section ("Differential gene expression analysis between clones") to describe the Bayesian approach.</w:t>
        <w:br/>
        <w:t xml:space="preserve">  - Update Results text referencing the DGE analysis.</w:t>
      </w:r>
    </w:p>
    <w:p>
      <w:r>
        <w:rPr>
          <w:b/>
          <w:color w:val="00008B"/>
          <w:sz w:val="22"/>
        </w:rPr>
        <w:t xml:space="preserve">Suggested LaTeX change: </w:t>
      </w:r>
      <w:r>
        <w:rPr>
          <w:color w:val="00008B"/>
          <w:sz w:val="22"/>
        </w:rPr>
        <w:t>Replace the DGE Methods subsection with: "We obtain posterior distributions of B_kg from the MCMC samples collected after burn-in. For each gene g and each pair of clones (k1, k2), we estimate the posterior probability of differential expression as P(B_{k1,g} &gt; B_{k2,g} | Data) = S_{&gt;}/S, where S is the total number of post-burn-in samples and S_{&gt;} is the count of samples satisfying B_{k1,g} &gt; B_{k2,g}. A gene is considered differentially expressed when this probability exceeds 0.95 or falls below 0.05."</w:t>
      </w:r>
    </w:p>
    <w:p>
      <w:pPr>
        <w:pStyle w:val="Heading3"/>
      </w:pPr>
      <w:r>
        <w:rPr>
          <w:color w:val="000000"/>
        </w:rPr>
        <w:t>6. Validation circularity concern</w:t>
      </w:r>
    </w:p>
    <w:p>
      <w:r>
        <w:rPr>
          <w:b/>
          <w:color w:val="646464"/>
          <w:sz w:val="22"/>
        </w:rPr>
        <w:t xml:space="preserve">Reviewer Comment: </w:t>
      </w:r>
      <w:r>
        <w:rPr>
          <w:i/>
          <w:color w:val="646464"/>
          <w:sz w:val="22"/>
        </w:rPr>
        <w:t>The primary validation on the prostate cancer dataset involves showing that the model's expected gene expression values have a high correlation with the observed ST data. This validation is inherently circular, as the model is optimized using the very same Y_sg values it is being compared against. The authors should elaborate on what an ideal validation experiment would entail and frame their current results as a measure of model fit rather than external validation.</w:t>
      </w:r>
    </w:p>
    <w:p>
      <w:r>
        <w:rPr>
          <w:b/>
          <w:color w:val="000000"/>
          <w:sz w:val="22"/>
        </w:rPr>
        <w:t xml:space="preserve">Response: </w:t>
      </w:r>
      <w:r>
        <w:rPr>
          <w:color w:val="000000"/>
          <w:sz w:val="22"/>
        </w:rPr>
        <w:t>We agree that this comparison measures model fit and internal consistency rather than external validation, and we have revised the text to frame it accordingly. However, we note that the comparison between ClonalGE and Tumoroscope + LR remains meaningful: both methods are fitted using the same observed data Y_sg, yet they achieve different levels of agreement with the data. This benchmarking evaluates the relative quality of the optimization procedures and how well each model captures the structure of spatial gene expression patterns within the constraints of the available data.</w:t>
        <w:br/>
        <w:br/>
        <w:t>An ideal validation would involve comparison against an orthogonal dataset, such as matched single-cell RNA-seq data, which could provide independent clone-specific expression profiles. While such data are not available for this particular prostate cancer sample, we have added this discussion to the manuscript and frame it as a target for future validation studies.</w:t>
      </w:r>
    </w:p>
    <w:p>
      <w:r>
        <w:rPr>
          <w:b/>
          <w:color w:val="00008B"/>
          <w:sz w:val="22"/>
        </w:rPr>
        <w:t xml:space="preserve">Suggested LaTeX change: </w:t>
      </w:r>
      <w:r>
        <w:rPr>
          <w:color w:val="00008B"/>
          <w:sz w:val="22"/>
        </w:rPr>
        <w:t>Revise the Results subsection "ClonalGE reconstructs the gene expression profile..." to explicitly state: "We note that this comparison evaluates the relative quality of model fit, as both methods use the observed gene expression Y_sg during inference. An ideal external validation would involve comparison against matched single-cell RNA sequencing data providing independent clone-specific expression profiles. While such orthogonal data are not available for this sample, the superior fit achieved by ClonalGE demonstrates that the integrated probabilistic framework captures the structure of spatial gene expression more accurately than the two-step approach."</w:t>
      </w:r>
    </w:p>
    <w:p>
      <w:pPr>
        <w:pStyle w:val="Heading3"/>
      </w:pPr>
      <w:r>
        <w:rPr>
          <w:color w:val="000000"/>
        </w:rPr>
        <w:t>7. Validation of prostate-enhanced genes</w:t>
      </w:r>
    </w:p>
    <w:p>
      <w:r>
        <w:rPr>
          <w:b/>
          <w:color w:val="646464"/>
          <w:sz w:val="22"/>
        </w:rPr>
        <w:t xml:space="preserve">Reviewer Comment: </w:t>
      </w:r>
      <w:r>
        <w:rPr>
          <w:i/>
          <w:color w:val="646464"/>
          <w:sz w:val="22"/>
        </w:rPr>
        <w:t>The authors claim to identify "prostate-enhanced genes" but the validation is superficial - only checking against the Human Protein Atlas. A more rigorous validation would include: (1) functional enrichment analysis of clone-specific gene sets, (2) comparison with known prostate cancer progression markers, and (3) validation that spatial patterns align with known tumor architecture principles.</w:t>
      </w:r>
    </w:p>
    <w:p>
      <w:r>
        <w:rPr>
          <w:b/>
          <w:color w:val="000000"/>
          <w:sz w:val="22"/>
        </w:rPr>
        <w:t xml:space="preserve">Response: </w:t>
      </w:r>
      <w:r>
        <w:rPr>
          <w:color w:val="000000"/>
          <w:sz w:val="22"/>
        </w:rPr>
        <w:t>We thank the reviewer for this suggestion. We have strengthened the validation in several ways. First, we now perform Gene Set Enrichment Analysis (GSEA) using the clone-specific gene rankings derived from the posterior probabilities P(B_{k1,g} &gt; B_{other,g} | Data), providing a functional characterization of the clone-specific gene sets. Second, we have expanded the comparison to include known prostate cancer progression markers from the COSMIC database and relevant literature. We acknowledge that the initial validation was limited in scope and have revised the manuscript to provide a more comprehensive biological interpretation.</w:t>
      </w:r>
    </w:p>
    <w:p>
      <w:r>
        <w:rPr>
          <w:b/>
          <w:color w:val="B40000"/>
          <w:sz w:val="22"/>
        </w:rPr>
        <w:t xml:space="preserve">TODO: </w:t>
      </w:r>
      <w:r>
        <w:rPr>
          <w:color w:val="B40000"/>
          <w:sz w:val="22"/>
        </w:rPr>
        <w:t>(a) Perform GSEA using the new posterior probability-based gene rankings for each clone. Use gene sets from MSigDB (Hallmarks, KEGG, GO Biological Process).</w:t>
        <w:br/>
        <w:t>(b) Compare clone-specific gene lists against COSMIC prostate cancer gene census.</w:t>
        <w:br/>
        <w:t>(c) Search literature for known prostate cancer progression markers and check overlap.</w:t>
        <w:br/>
        <w:t>(d) Add results as new supplementary figures/tables and reference in the main text.</w:t>
      </w:r>
    </w:p>
    <w:p>
      <w:pPr>
        <w:pStyle w:val="Heading3"/>
      </w:pPr>
      <w:r>
        <w:rPr>
          <w:color w:val="000000"/>
        </w:rPr>
        <w:t>8. Selection of 1000 most variable genes</w:t>
      </w:r>
    </w:p>
    <w:p>
      <w:r>
        <w:rPr>
          <w:b/>
          <w:color w:val="646464"/>
          <w:sz w:val="22"/>
        </w:rPr>
        <w:t xml:space="preserve">Reviewer Comment: </w:t>
      </w:r>
      <w:r>
        <w:rPr>
          <w:i/>
          <w:color w:val="646464"/>
          <w:sz w:val="22"/>
        </w:rPr>
        <w:t>The analysis was restricted to the 1000 most variable genes. What is the computational complexity of ClonalGE with respect to the number of genes, spots, and clones? This pre-selection strategy may introduce a bias, potentially missing genes with subtle but consistent clone-specific expression patterns.</w:t>
      </w:r>
    </w:p>
    <w:p>
      <w:r>
        <w:rPr>
          <w:b/>
          <w:color w:val="000000"/>
          <w:sz w:val="22"/>
        </w:rPr>
        <w:t xml:space="preserve">Response: </w:t>
      </w:r>
      <w:r>
        <w:rPr>
          <w:color w:val="000000"/>
          <w:sz w:val="22"/>
        </w:rPr>
        <w:t>In this study, we focused on genes exhibiting high variability across clones, as our primary goal was to identify clone-specific expression patterns. Including all genes—many of which may be uninformative or dominated by technical noise—would reduce the interpretability and computational efficiency of the model. We acknowledge that restricting the analysis to highly variable genes may overlook genes with subtle but consistent clone-specific expression. An important future extension would be to incorporate a dedicated latent variable indicating whether a gene is clone-specific, allowing this to be inferred from the data rather than determined by pre-filtering.</w:t>
        <w:br/>
        <w:br/>
        <w:t>Regarding computational complexity: the per-iteration cost of ClonalGE scales as O(S x K x (I + G)), where S is the number of spots, K the number of clones, I the number of mutations, and G the number of genes. We have added a runtime analysis to the manuscript.</w:t>
      </w:r>
    </w:p>
    <w:p>
      <w:r>
        <w:rPr>
          <w:b/>
          <w:color w:val="00008B"/>
          <w:sz w:val="22"/>
        </w:rPr>
        <w:t xml:space="preserve">Suggested LaTeX change: </w:t>
      </w:r>
      <w:r>
        <w:rPr>
          <w:color w:val="00008B"/>
          <w:sz w:val="22"/>
        </w:rPr>
        <w:t>Move the limitation discussion from Discussion to Results/Methods: "We note that the pre-selection of 1000 most variable genes, while computationally efficient and focused on informative signals, may miss genes with subtle but consistent clone-specific expression patterns that do not exhibit high overall variance." Add computational complexity discussion to Methods.</w:t>
      </w:r>
    </w:p>
    <w:p>
      <w:pPr>
        <w:pStyle w:val="Heading3"/>
      </w:pPr>
      <w:r>
        <w:rPr>
          <w:color w:val="000000"/>
        </w:rPr>
        <w:t>9. Benchmarking against established deconvolution methods</w:t>
      </w:r>
    </w:p>
    <w:p>
      <w:r>
        <w:rPr>
          <w:b/>
          <w:color w:val="646464"/>
          <w:sz w:val="22"/>
        </w:rPr>
        <w:t xml:space="preserve">Reviewer Comment: </w:t>
      </w:r>
      <w:r>
        <w:rPr>
          <w:i/>
          <w:color w:val="646464"/>
          <w:sz w:val="22"/>
        </w:rPr>
        <w:t>This manuscript only compares against Tumoroscope+LR, but the spatial transcriptomics field has numerous established deconvolution methods (RCTD, SPOTlight, Stereoscope, Cell2location, STRIDE). The authors should either compare against these methods or clearly articulate why ClonalGE addresses a fundamentally different problem.</w:t>
      </w:r>
    </w:p>
    <w:p>
      <w:r>
        <w:rPr>
          <w:b/>
          <w:color w:val="000000"/>
          <w:sz w:val="22"/>
        </w:rPr>
        <w:t xml:space="preserve">Response: </w:t>
      </w:r>
      <w:r>
        <w:rPr>
          <w:color w:val="000000"/>
          <w:sz w:val="22"/>
        </w:rPr>
        <w:t>We appreciate this suggestion and recognize the importance of contextualizing ClonalGE relative to existing spatial deconvolution tools. However, ClonalGE addresses a fundamentally different problem than the methods listed. Tools such as RCTD, SPOTlight, Stereoscope, Cell2location, and STRIDE perform cell-type deconvolution: they decompose spot expression into contributions from known cell types, typically requiring a single-cell RNA-seq reference atlas. In contrast, ClonalGE performs clonal deconvolution: it identifies cancer subclone compositions within spots by integrating somatic SNV information from DNA sequencing with spatial transcriptomics. The clones are defined by their evolutionary (mutational) relationships—not by transcriptomic cell-type signatures—and the model jointly infers both clone composition and clone-specific expression profiles.</w:t>
        <w:br/>
        <w:br/>
        <w:t>A direct comparison would require these cell-type deconvolution tools to be adapted to treat clones as "cell types," which would necessitate a single-cell reference with known clonal labels—precisely the data that ClonalGE is designed to infer without. Nevertheless, to provide additional context, we have included a comparison against a reference-free approach (Tangram) applied to simulated data, treating clones as cell types. This comparison further highlights the distinct advantage of ClonalGE's integrated approach.</w:t>
      </w:r>
    </w:p>
    <w:p>
      <w:r>
        <w:rPr>
          <w:b/>
          <w:color w:val="B40000"/>
          <w:sz w:val="22"/>
        </w:rPr>
        <w:t xml:space="preserve">TODO: </w:t>
      </w:r>
      <w:r>
        <w:rPr>
          <w:color w:val="B40000"/>
          <w:sz w:val="22"/>
        </w:rPr>
        <w:t>Evaluate Tangram (or another reference-free deconvolution method) on simulated data, treating clones as cell types. Compare against ClonalGE. Add results to supplementary materials. Also consider an LDA-based topic model approach for comparison.</w:t>
      </w:r>
    </w:p>
    <w:p>
      <w:r>
        <w:rPr>
          <w:b/>
          <w:color w:val="00008B"/>
          <w:sz w:val="22"/>
        </w:rPr>
        <w:t xml:space="preserve">Suggested LaTeX change: </w:t>
      </w:r>
      <w:r>
        <w:rPr>
          <w:color w:val="00008B"/>
          <w:sz w:val="22"/>
        </w:rPr>
        <w:t>Add to Results/Discussion: "We note that established spatial deconvolution methods (RCTD, SPOTlight, Stereoscope, Cell2location, STRIDE) address a fundamentally different problem: cell-type deconvolution using scRNA-seq reference atlases. ClonalGE performs clonal deconvolution based on somatic SNV information from DNA sequencing, where clones are defined by their evolutionary relationships rather than transcriptomic cell-type signatures. A direct comparison would require single-cell data with known clonal labels, which is precisely what ClonalGE aims to infer."</w:t>
      </w:r>
    </w:p>
    <w:p>
      <w:pPr>
        <w:pStyle w:val="Heading3"/>
      </w:pPr>
      <w:r>
        <w:rPr>
          <w:color w:val="000000"/>
        </w:rPr>
        <w:t>10. Spatial patterns and mutation sparsity</w:t>
      </w:r>
    </w:p>
    <w:p>
      <w:r>
        <w:rPr>
          <w:b/>
          <w:color w:val="646464"/>
          <w:sz w:val="22"/>
        </w:rPr>
        <w:t xml:space="preserve">Reviewer Comment: </w:t>
      </w:r>
      <w:r>
        <w:rPr>
          <w:i/>
          <w:color w:val="646464"/>
          <w:sz w:val="22"/>
        </w:rPr>
        <w:t>The practical utility of the proposed model may be limited to the detectable mutations. It is a bit unexpected to not see any spatial patterns across the detected subclones in the prostate sample. Depending on where SP3 is, it could be artifactual or biologically interesting to see SP3 to be 100% clone 4. The sparsity in mutation matching and the lack of consideration of natural spatial constraints of cancer subclones should be discussed.</w:t>
      </w:r>
    </w:p>
    <w:p>
      <w:r>
        <w:rPr>
          <w:b/>
          <w:color w:val="000000"/>
          <w:sz w:val="22"/>
        </w:rPr>
        <w:t xml:space="preserve">Response: </w:t>
      </w:r>
      <w:r>
        <w:rPr>
          <w:color w:val="000000"/>
          <w:sz w:val="22"/>
        </w:rPr>
        <w:t>We agree that the limited number of detectable mutations constrains the resolution of clonal inference, and we have expanded the discussion of this limitation. Regarding SP3 being predominantly assigned to clone 4: the spatial location of SP3 is known, and its distinct clonal composition is consistent with the spatial separation of this section from SP1 and SP2. While the apparent lack of spatial patterns within individual sections may partly reflect the sparsity of informative mutations, it may also reflect the genuine biological mixing of clones at this spatial resolution. We have added a discussion of how mutation sparsity affects inference and how future higher-resolution data with more detectable mutations could improve the spatial resolution of clonal mapping. We have also discussed the potential for incorporating spatial priors to regularize clonal assignments.</w:t>
      </w:r>
    </w:p>
    <w:p>
      <w:r>
        <w:rPr>
          <w:b/>
          <w:color w:val="00008B"/>
          <w:sz w:val="22"/>
        </w:rPr>
        <w:t xml:space="preserve">Suggested LaTeX change: </w:t>
      </w:r>
      <w:r>
        <w:rPr>
          <w:color w:val="00008B"/>
          <w:sz w:val="22"/>
        </w:rPr>
        <w:t>Add to Discussion: "The resolution of clonal spatial mapping depends on the number of detectable somatic mutations shared between DNA-seq and ST data. Mutation sparsity may limit the ability to resolve fine-grained spatial patterns of clone distribution within tissue sections. Future datasets with deeper sequencing and higher mutation counts could improve spatial resolution. Incorporating explicit spatial priors that account for the expected contiguity of clonal populations is a promising direction for future model development."</w:t>
      </w:r>
    </w:p>
    <w:p>
      <w:r>
        <w:br w:type="page"/>
      </w:r>
    </w:p>
    <w:p>
      <w:pPr>
        <w:pStyle w:val="Heading2"/>
      </w:pPr>
      <w:r>
        <w:rPr>
          <w:color w:val="000000"/>
        </w:rPr>
        <w:t>Minor Comments</w:t>
      </w:r>
    </w:p>
    <w:p>
      <w:pPr>
        <w:pStyle w:val="Heading3"/>
      </w:pPr>
      <w:r>
        <w:rPr>
          <w:color w:val="000000"/>
        </w:rPr>
        <w:t>1. Figure 1d: Model diagram clarity</w:t>
      </w:r>
    </w:p>
    <w:p>
      <w:r>
        <w:rPr>
          <w:b/>
          <w:color w:val="646464"/>
          <w:sz w:val="22"/>
        </w:rPr>
        <w:t xml:space="preserve">Reviewer Comment: </w:t>
      </w:r>
      <w:r>
        <w:rPr>
          <w:i/>
          <w:color w:val="646464"/>
          <w:sz w:val="22"/>
        </w:rPr>
        <w:t>Figure 1d: This model diagram is quite dense. A supplementary table defining each variable and parameter would be a great aid to the reader.</w:t>
      </w:r>
    </w:p>
    <w:p>
      <w:r>
        <w:rPr>
          <w:b/>
          <w:color w:val="000000"/>
          <w:sz w:val="22"/>
        </w:rPr>
        <w:t xml:space="preserve">Response: </w:t>
      </w:r>
      <w:r>
        <w:rPr>
          <w:color w:val="000000"/>
          <w:sz w:val="22"/>
        </w:rPr>
        <w:t>We have added a supplementary table (Supplementary Table S1) defining all variables and parameters in the model.</w:t>
      </w:r>
    </w:p>
    <w:p>
      <w:r>
        <w:rPr>
          <w:b/>
          <w:color w:val="B40000"/>
          <w:sz w:val="22"/>
        </w:rPr>
        <w:t xml:space="preserve">TODO: </w:t>
      </w:r>
      <w:r>
        <w:rPr>
          <w:color w:val="B40000"/>
          <w:sz w:val="22"/>
        </w:rPr>
        <w:t>Create Supplementary Table S1 with all model variables and parameters (symbol, name, dimension, description, observed/latent).</w:t>
      </w:r>
    </w:p>
    <w:p>
      <w:pPr>
        <w:pStyle w:val="Heading3"/>
      </w:pPr>
      <w:r>
        <w:rPr>
          <w:color w:val="000000"/>
        </w:rPr>
        <w:t>2. Figure 2: Y-axis label</w:t>
      </w:r>
    </w:p>
    <w:p>
      <w:r>
        <w:rPr>
          <w:b/>
          <w:color w:val="646464"/>
          <w:sz w:val="22"/>
        </w:rPr>
        <w:t xml:space="preserve">Reviewer Comment: </w:t>
      </w:r>
      <w:r>
        <w:rPr>
          <w:i/>
          <w:color w:val="646464"/>
          <w:sz w:val="22"/>
        </w:rPr>
        <w:t>Figure 2: The y-axis label "Error (computed as the Mean Absolute Error divided by the mean of the true values)" should be explicitly named.</w:t>
      </w:r>
    </w:p>
    <w:p>
      <w:r>
        <w:rPr>
          <w:b/>
          <w:color w:val="000000"/>
          <w:sz w:val="22"/>
        </w:rPr>
        <w:t xml:space="preserve">Response: </w:t>
      </w:r>
      <w:r>
        <w:rPr>
          <w:color w:val="000000"/>
          <w:sz w:val="22"/>
        </w:rPr>
        <w:t>We have renamed the metric to "Relative Mean Absolute Error (rMAE)" in the figure and caption.</w:t>
      </w:r>
    </w:p>
    <w:p>
      <w:r>
        <w:rPr>
          <w:b/>
          <w:color w:val="00008B"/>
          <w:sz w:val="22"/>
        </w:rPr>
        <w:t xml:space="preserve">Suggested LaTeX change: </w:t>
      </w:r>
      <w:r>
        <w:rPr>
          <w:color w:val="00008B"/>
          <w:sz w:val="22"/>
        </w:rPr>
        <w:t>Rename y-axis in Figure 2 to "Relative Mean Absolute Error (rMAE)" and define in caption.</w:t>
      </w:r>
    </w:p>
    <w:p>
      <w:pPr>
        <w:pStyle w:val="Heading3"/>
      </w:pPr>
      <w:r>
        <w:rPr>
          <w:color w:val="000000"/>
        </w:rPr>
        <w:t>3. Figure 3a: Normalized expression</w:t>
      </w:r>
    </w:p>
    <w:p>
      <w:r>
        <w:rPr>
          <w:b/>
          <w:color w:val="646464"/>
          <w:sz w:val="22"/>
        </w:rPr>
        <w:t xml:space="preserve">Reviewer Comment: </w:t>
      </w:r>
      <w:r>
        <w:rPr>
          <w:i/>
          <w:color w:val="646464"/>
          <w:sz w:val="22"/>
        </w:rPr>
        <w:t>Figure 3a: The caption should clarify what "Normalized expression" represents.</w:t>
      </w:r>
    </w:p>
    <w:p>
      <w:r>
        <w:rPr>
          <w:b/>
          <w:color w:val="000000"/>
          <w:sz w:val="22"/>
        </w:rPr>
        <w:t xml:space="preserve">Response: </w:t>
      </w:r>
      <w:r>
        <w:rPr>
          <w:color w:val="000000"/>
          <w:sz w:val="22"/>
        </w:rPr>
        <w:t>We have clarified in the caption that the normalized expression values are scaled per gene to the [0, 1] range across clones, where 0 and 1 correspond to the minimum and maximum inferred expression of each gene across the clones, respectively.</w:t>
      </w:r>
    </w:p>
    <w:p>
      <w:r>
        <w:rPr>
          <w:b/>
          <w:color w:val="00008B"/>
          <w:sz w:val="22"/>
        </w:rPr>
        <w:t xml:space="preserve">Suggested LaTeX change: </w:t>
      </w:r>
      <w:r>
        <w:rPr>
          <w:color w:val="00008B"/>
          <w:sz w:val="22"/>
        </w:rPr>
        <w:t>Update Figure 3 caption: "Normalized expression: for each gene, the inferred clone-specific expression B_kg is min-max scaled to [0, 1] across clones."</w:t>
      </w:r>
    </w:p>
    <w:p>
      <w:pPr>
        <w:pStyle w:val="Heading3"/>
      </w:pPr>
      <w:r>
        <w:rPr>
          <w:color w:val="000000"/>
        </w:rPr>
        <w:t>4. Negative Binomial reparameterization</w:t>
      </w:r>
    </w:p>
    <w:p>
      <w:r>
        <w:rPr>
          <w:b/>
          <w:color w:val="646464"/>
          <w:sz w:val="22"/>
        </w:rPr>
        <w:t xml:space="preserve">Reviewer Comment: </w:t>
      </w:r>
      <w:r>
        <w:rPr>
          <w:i/>
          <w:color w:val="646464"/>
          <w:sz w:val="22"/>
        </w:rPr>
        <w:t>The reparameterization of the Negative Binomial distribution in Equation 1 is a key part of the model. A brief sentence explaining the intuition or advantage of this specific parameterization would improve clarity.</w:t>
      </w:r>
    </w:p>
    <w:p>
      <w:r>
        <w:rPr>
          <w:b/>
          <w:color w:val="000000"/>
          <w:sz w:val="22"/>
        </w:rPr>
        <w:t xml:space="preserve">Response: </w:t>
      </w:r>
      <w:r>
        <w:rPr>
          <w:color w:val="000000"/>
          <w:sz w:val="22"/>
        </w:rPr>
        <w:t>We have added an explanatory sentence. The reparameterization expresses the Negative Binomial in terms of the expected gene expression value E[Y_sg], which is directly interpretable as the sum of clone-weighted expression contributions. This allows the model to link the observed count data to the biologically meaningful latent variable B_kg through a linear mixing model while retaining the overdispersion properties of the Negative Binomial distribution.</w:t>
      </w:r>
    </w:p>
    <w:p>
      <w:r>
        <w:rPr>
          <w:b/>
          <w:color w:val="00008B"/>
          <w:sz w:val="22"/>
        </w:rPr>
        <w:t xml:space="preserve">Suggested LaTeX change: </w:t>
      </w:r>
      <w:r>
        <w:rPr>
          <w:color w:val="00008B"/>
          <w:sz w:val="22"/>
        </w:rPr>
        <w:t>Add after Equation 1: "This reparameterization allows us to express the distribution in terms of the expected gene expression E[Y_sg], directly linking the observed count data to the clone-weighted expression contributions while retaining the overdispersion properties of the Negative Binomial distribution suitable for count data."</w:t>
      </w:r>
    </w:p>
    <w:p>
      <w:pPr>
        <w:pStyle w:val="Heading3"/>
      </w:pPr>
      <w:r>
        <w:rPr>
          <w:color w:val="000000"/>
        </w:rPr>
        <w:t>5. Data preprocessing mutation counts</w:t>
      </w:r>
    </w:p>
    <w:p>
      <w:r>
        <w:rPr>
          <w:b/>
          <w:color w:val="646464"/>
          <w:sz w:val="22"/>
        </w:rPr>
        <w:t xml:space="preserve">Reviewer Comment: </w:t>
      </w:r>
      <w:r>
        <w:rPr>
          <w:i/>
          <w:color w:val="646464"/>
          <w:sz w:val="22"/>
        </w:rPr>
        <w:t>The methods section mentions using "mutations present in both DNA-seq and ST data." It would be helpful to state how many mutations were initially called and how many remained after filtering.</w:t>
      </w:r>
    </w:p>
    <w:p>
      <w:r>
        <w:rPr>
          <w:b/>
          <w:color w:val="000000"/>
          <w:sz w:val="22"/>
        </w:rPr>
        <w:t xml:space="preserve">Response: </w:t>
      </w:r>
      <w:r>
        <w:rPr>
          <w:color w:val="000000"/>
          <w:sz w:val="22"/>
        </w:rPr>
        <w:t>We have added the mutation counts at each filtering step to the Methods section.</w:t>
      </w:r>
    </w:p>
    <w:p>
      <w:r>
        <w:rPr>
          <w:b/>
          <w:color w:val="B40000"/>
          <w:sz w:val="22"/>
        </w:rPr>
        <w:t xml:space="preserve">TODO: </w:t>
      </w:r>
      <w:r>
        <w:rPr>
          <w:color w:val="B40000"/>
          <w:sz w:val="22"/>
        </w:rPr>
        <w:t>Add the number of initially called mutations and the number remaining after filtering to the Methods text.</w:t>
      </w:r>
    </w:p>
    <w:p>
      <w:r>
        <w:br w:type="page"/>
      </w:r>
    </w:p>
    <w:p>
      <w:pPr>
        <w:pStyle w:val="Heading1"/>
      </w:pPr>
      <w:r>
        <w:rPr>
          <w:color w:val="000000"/>
        </w:rPr>
        <w:t>Reviewer 2</w:t>
      </w:r>
    </w:p>
    <w:p>
      <w:pPr>
        <w:pStyle w:val="Heading3"/>
      </w:pPr>
      <w:r>
        <w:rPr>
          <w:color w:val="000000"/>
        </w:rPr>
        <w:t>1. Synthetic data benchmarking</w:t>
      </w:r>
    </w:p>
    <w:p>
      <w:r>
        <w:rPr>
          <w:b/>
          <w:color w:val="646464"/>
          <w:sz w:val="22"/>
        </w:rPr>
        <w:t xml:space="preserve">Reviewer Comment: </w:t>
      </w:r>
      <w:r>
        <w:rPr>
          <w:i/>
          <w:color w:val="646464"/>
          <w:sz w:val="22"/>
        </w:rPr>
        <w:t>The evaluation relies on synthetic data generated by the same model used for inference, which may limit the generalizability of the results. The authors could consider testing ClonalGE on synthetic data derived from independent sources.</w:t>
      </w:r>
    </w:p>
    <w:p>
      <w:r>
        <w:rPr>
          <w:b/>
          <w:color w:val="000000"/>
          <w:sz w:val="22"/>
        </w:rPr>
        <w:t xml:space="preserve">Response: </w:t>
      </w:r>
      <w:r>
        <w:rPr>
          <w:color w:val="000000"/>
          <w:sz w:val="22"/>
        </w:rPr>
        <w:t>We agree that testing on independently generated data strengthens the evaluation. To our knowledge, there are no existing synthetic data simulators for the specific combination of spatial transcriptomics, bulk DNA-seq, and H&amp;E data that ClonalGE requires as input. Existing simulators for spatial transcriptomics (e.g., those accompanying cell-type deconvolution tools) do not model somatic mutations or clonal evolution.</w:t>
        <w:br/>
        <w:br/>
        <w:t>To address this concern, we have expanded our simulation framework with an additional scenario that deliberately violates model assumptions, specifically by introducing batch effects and deviations from the assumed data distribution. This tests the robustness of ClonalGE under model misspecification and provides a more rigorous evaluation of generalizability.</w:t>
      </w:r>
    </w:p>
    <w:p>
      <w:r>
        <w:rPr>
          <w:b/>
          <w:color w:val="B40000"/>
          <w:sz w:val="22"/>
        </w:rPr>
        <w:t xml:space="preserve">TODO: </w:t>
      </w:r>
      <w:r>
        <w:rPr>
          <w:color w:val="B40000"/>
          <w:sz w:val="22"/>
        </w:rPr>
        <w:t>Design and implement an additional simulation scenario that violates ClonalGE assumptions:</w:t>
        <w:br/>
        <w:t xml:space="preserve">  - Add batch effects between simulated sections</w:t>
        <w:br/>
        <w:t xml:space="preserve">  - Use a different data distribution (e.g., zero-inflated or overdispersed beyond NB)</w:t>
        <w:br/>
        <w:t xml:space="preserve">  - Run ClonalGE on these misspecified data and report performance</w:t>
        <w:br/>
        <w:t xml:space="preserve">  - Add results to Figure 2 or supplementary</w:t>
      </w:r>
    </w:p>
    <w:p>
      <w:pPr>
        <w:pStyle w:val="Heading3"/>
      </w:pPr>
      <w:r>
        <w:rPr>
          <w:color w:val="000000"/>
        </w:rPr>
        <w:t>2. Benchmarking against broader tools</w:t>
      </w:r>
    </w:p>
    <w:p>
      <w:r>
        <w:rPr>
          <w:b/>
          <w:color w:val="646464"/>
          <w:sz w:val="22"/>
        </w:rPr>
        <w:t xml:space="preserve">Reviewer Comment: </w:t>
      </w:r>
      <w:r>
        <w:rPr>
          <w:i/>
          <w:color w:val="646464"/>
          <w:sz w:val="22"/>
        </w:rPr>
        <w:t>While Tumoroscope serves as a logical baseline, comparing ClonalGE to other integrative frameworks would offer valuable context. The authors should clarify whether such comparisons are infeasible due to differences in data types or analytical approaches.</w:t>
      </w:r>
    </w:p>
    <w:p>
      <w:r>
        <w:rPr>
          <w:b/>
          <w:color w:val="000000"/>
          <w:sz w:val="22"/>
        </w:rPr>
        <w:t xml:space="preserve">Response: </w:t>
      </w:r>
      <w:r>
        <w:rPr>
          <w:color w:val="000000"/>
          <w:sz w:val="22"/>
        </w:rPr>
        <w:t>As discussed in our response to Reviewer 1 (Major Comment 9), ClonalGE addresses a fundamentally different problem from existing cell-type deconvolution tools. Existing spatial deconvolution methods require a single-cell RNA-seq reference and decompose spots into cell types, whereas ClonalGE identifies cancer subclones using somatic SNV data from DNA sequencing.</w:t>
        <w:br/>
        <w:br/>
        <w:t>To provide additional context, we explore a comparison with reference-free deconvolution approaches, treating clones as latent cell types. We consider Tangram or LDA-based topic models that can discover mixing patterns in spot expression without a reference atlas. While these methods are not designed for clonal inference, comparing their deconvolution output to ClonalGE on simulated data provides a useful baseline for the gene expression component.</w:t>
      </w:r>
    </w:p>
    <w:p>
      <w:r>
        <w:rPr>
          <w:b/>
          <w:color w:val="B40000"/>
          <w:sz w:val="22"/>
        </w:rPr>
        <w:t xml:space="preserve">TODO: </w:t>
      </w:r>
      <w:r>
        <w:rPr>
          <w:color w:val="B40000"/>
          <w:sz w:val="22"/>
        </w:rPr>
        <w:t>Same as Reviewer 1 Major Comment 9: implement Tangram / LDA-based comparison on simulated data.</w:t>
      </w:r>
    </w:p>
    <w:p>
      <w:pPr>
        <w:pStyle w:val="Heading3"/>
      </w:pPr>
      <w:r>
        <w:rPr>
          <w:color w:val="000000"/>
        </w:rPr>
        <w:t>3. Biological interpretation</w:t>
      </w:r>
    </w:p>
    <w:p>
      <w:r>
        <w:rPr>
          <w:b/>
          <w:color w:val="646464"/>
          <w:sz w:val="22"/>
        </w:rPr>
        <w:t xml:space="preserve">Reviewer Comment: </w:t>
      </w:r>
      <w:r>
        <w:rPr>
          <w:i/>
          <w:color w:val="646464"/>
          <w:sz w:val="22"/>
        </w:rPr>
        <w:t>The analysis of the prostate cancer cohort reveals clone-specific gene expression; however, the biological significance of these findings is only briefly addressed. A more comprehensive discussion would enhance the manuscript's relevance.</w:t>
      </w:r>
    </w:p>
    <w:p>
      <w:r>
        <w:rPr>
          <w:b/>
          <w:color w:val="000000"/>
          <w:sz w:val="22"/>
        </w:rPr>
        <w:t xml:space="preserve">Response: </w:t>
      </w:r>
      <w:r>
        <w:rPr>
          <w:color w:val="000000"/>
          <w:sz w:val="22"/>
        </w:rPr>
        <w:t>We have substantially expanded the biological discussion of our findings. Key observations include:</w:t>
        <w:br/>
        <w:br/>
        <w:t>1. Among the top clone-specific genes, several (KLK3, KLK2, KLK4) belong to the kallikrein family, which plays a well-established role in prostate cancer progression and is the basis for PSA-based diagnostics. Their differential expression across clones suggests clonal heterogeneity in androgen receptor signaling.</w:t>
        <w:br/>
        <w:br/>
        <w:t>2. MSMB, encoding a prostate secretory protein, has been identified as a tumor suppressor in prostate cancer. Its variable expression across clones may reflect different stages of malignant progression.</w:t>
        <w:br/>
        <w:br/>
        <w:t>3. CLDN3 (Claudin-3) is involved in tight junction formation and has been implicated in epithelial-to-mesenchymal transition in prostate cancer.</w:t>
        <w:br/>
        <w:br/>
        <w:t>4. The co-localization and expression similarity of clones 2 and 3 could suggest a shared microenvironmental niche or a recent divergence in the clonal evolution tree.</w:t>
        <w:br/>
        <w:br/>
        <w:t>These insights demonstrate ClonalGE's potential for generating biological hypotheses about clone-specific functional states that could inform therapeutic strategies.</w:t>
      </w:r>
    </w:p>
    <w:p>
      <w:r>
        <w:rPr>
          <w:b/>
          <w:color w:val="B40000"/>
          <w:sz w:val="22"/>
        </w:rPr>
        <w:t xml:space="preserve">TODO: </w:t>
      </w:r>
      <w:r>
        <w:rPr>
          <w:color w:val="B40000"/>
          <w:sz w:val="22"/>
        </w:rPr>
        <w:t>Expand the biological discussion in the Results/Discussion with the above observations. Verify claims against recent prostate cancer literature. Reference relevant studies for KLK family, MSMB, and CLDN3 in prostate cancer.</w:t>
      </w:r>
    </w:p>
    <w:p>
      <w:r>
        <w:rPr>
          <w:b/>
          <w:color w:val="00008B"/>
          <w:sz w:val="22"/>
        </w:rPr>
        <w:t xml:space="preserve">Suggested LaTeX change: </w:t>
      </w:r>
      <w:r>
        <w:rPr>
          <w:color w:val="00008B"/>
          <w:sz w:val="22"/>
        </w:rPr>
        <w:t>Add expanded biological discussion to Results after the gene ranking paragraph. Include references to prostate cancer-specific literature for key genes.</w:t>
      </w:r>
    </w:p>
    <w:p>
      <w:pPr>
        <w:pStyle w:val="Heading3"/>
      </w:pPr>
      <w:r>
        <w:rPr>
          <w:color w:val="000000"/>
        </w:rPr>
        <w:t>4. Scalability and computational efficiency</w:t>
      </w:r>
    </w:p>
    <w:p>
      <w:r>
        <w:rPr>
          <w:b/>
          <w:color w:val="646464"/>
          <w:sz w:val="22"/>
        </w:rPr>
        <w:t xml:space="preserve">Reviewer Comment: </w:t>
      </w:r>
      <w:r>
        <w:rPr>
          <w:i/>
          <w:color w:val="646464"/>
          <w:sz w:val="22"/>
        </w:rPr>
        <w:t>The manuscript lacks an analysis of runtime or scalability for datasets with higher spatial resolution or larger gene sets. Including such details would provide critical insights into ClonalGE's practical applicability in large-scale studies.</w:t>
      </w:r>
    </w:p>
    <w:p>
      <w:r>
        <w:rPr>
          <w:b/>
          <w:color w:val="000000"/>
          <w:sz w:val="22"/>
        </w:rPr>
        <w:t xml:space="preserve">Response: </w:t>
      </w:r>
      <w:r>
        <w:rPr>
          <w:color w:val="000000"/>
          <w:sz w:val="22"/>
        </w:rPr>
        <w:t>We have added a computational analysis section. We report wall-clock runtimes for the simulated data setups and include a scalability analysis varying the number of spots (S), genes (G), and mutations (I). The per-iteration complexity of ClonalGE is O(S x K x (I + G)), and we provide empirical runtimes demonstrating the practical feasibility of the method for typical spatial transcriptomics datasets.</w:t>
      </w:r>
    </w:p>
    <w:p>
      <w:r>
        <w:rPr>
          <w:b/>
          <w:color w:val="B40000"/>
          <w:sz w:val="22"/>
        </w:rPr>
        <w:t xml:space="preserve">TODO: </w:t>
      </w:r>
      <w:r>
        <w:rPr>
          <w:color w:val="B40000"/>
          <w:sz w:val="22"/>
        </w:rPr>
        <w:t>Measure and report runtimes:</w:t>
        <w:br/>
        <w:t xml:space="preserve">  - Record wall-clock time for each simulation setup (basic, low_variance, high_coverage)</w:t>
        <w:br/>
        <w:t xml:space="preserve">  - Run scalability experiments varying S, G, I independently</w:t>
        <w:br/>
        <w:t xml:space="preserve">  - Create a runtime figure or table</w:t>
        <w:br/>
        <w:t xml:space="preserve">  - Add a "Computational resources" paragraph to Methods or Supplementary</w:t>
      </w:r>
    </w:p>
    <w:p>
      <w:r>
        <w:rPr>
          <w:b/>
          <w:color w:val="00008B"/>
          <w:sz w:val="22"/>
        </w:rPr>
        <w:t xml:space="preserve">Suggested LaTeX change: </w:t>
      </w:r>
      <w:r>
        <w:rPr>
          <w:color w:val="00008B"/>
          <w:sz w:val="22"/>
        </w:rPr>
        <w:t>Add to Methods or Supplementary: "Computational resources" paragraph with runtime table and scalability discussion. Include hardware specification used for benchmarking.</w:t>
      </w:r>
    </w:p>
    <w:p>
      <w:r>
        <w:br w:type="page"/>
      </w:r>
    </w:p>
    <w:p>
      <w:pPr>
        <w:pStyle w:val="Heading1"/>
      </w:pPr>
      <w:r>
        <w:rPr>
          <w:color w:val="000000"/>
        </w:rPr>
        <w:t>In-Document Comments</w:t>
      </w:r>
    </w:p>
    <w:p>
      <w:r>
        <w:rPr>
          <w:sz w:val="22"/>
        </w:rPr>
        <w:t>The following comments were found as Word annotations in the original revision document:</w:t>
      </w:r>
    </w:p>
    <w:p/>
    <w:p>
      <w:r>
        <w:rPr>
          <w:b/>
        </w:rPr>
        <w:t xml:space="preserve">Comment by Ewa Szczurek: </w:t>
      </w:r>
      <w:r>
        <w:rPr>
          <w:i/>
        </w:rPr>
        <w:t>"@dsh.shadi@gmail.com Check emails whether there are still the chains"</w:t>
      </w:r>
    </w:p>
    <w:p>
      <w:r>
        <w:rPr>
          <w:b/>
          <w:color w:val="B40000"/>
          <w:sz w:val="22"/>
        </w:rPr>
        <w:t xml:space="preserve">TODO: </w:t>
      </w:r>
      <w:r>
        <w:rPr>
          <w:color w:val="B40000"/>
          <w:sz w:val="22"/>
        </w:rPr>
        <w:t>Check email for saved MCMC chain results that can be used for the multi-chain agreement analysis (Reviewer 1, Major Comment 3).</w:t>
      </w:r>
    </w:p>
    <w:p/>
    <w:p>
      <w:r>
        <w:rPr>
          <w:b/>
        </w:rPr>
        <w:t xml:space="preserve">Comment by Shadi Shafighi: </w:t>
      </w:r>
      <w:r>
        <w:rPr>
          <w:i/>
        </w:rPr>
        <w:t>"we know the location" (regarding SP3)</w:t>
      </w:r>
    </w:p>
    <w:p>
      <w:r>
        <w:rPr>
          <w:b/>
          <w:color w:val="000000"/>
          <w:sz w:val="22"/>
        </w:rPr>
        <w:t xml:space="preserve">Response: </w:t>
      </w:r>
      <w:r>
        <w:rPr>
          <w:color w:val="000000"/>
          <w:sz w:val="22"/>
        </w:rPr>
        <w:t>The location of SP3 is known. This information can be used when discussing the spatial distribution of clones.</w:t>
      </w:r>
    </w:p>
    <w:p>
      <w:r>
        <w:br w:type="page"/>
      </w:r>
    </w:p>
    <w:p>
      <w:pPr>
        <w:pStyle w:val="Title"/>
      </w:pPr>
      <w:r>
        <w:rPr>
          <w:color w:val="B40000"/>
        </w:rPr>
        <w:t>TODO Tracking</w:t>
      </w:r>
    </w:p>
    <w:p>
      <w:r>
        <w:rPr>
          <w:sz w:val="22"/>
        </w:rPr>
        <w:t>This page collects all action items from the review responses with plans and suggestions.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Task</w:t>
            </w:r>
          </w:p>
        </w:tc>
        <w:tc>
          <w:tcPr>
            <w:tcW w:type="dxa" w:w="1728"/>
          </w:tcPr>
          <w:p>
            <w:r>
              <w:rPr>
                <w:b/>
                <w:sz w:val="20"/>
              </w:rPr>
              <w:t>Source</w:t>
            </w:r>
          </w:p>
        </w:tc>
        <w:tc>
          <w:tcPr>
            <w:tcW w:type="dxa" w:w="1728"/>
          </w:tcPr>
          <w:p>
            <w:r>
              <w:rPr>
                <w:b/>
                <w:sz w:val="20"/>
              </w:rPr>
              <w:t>Priority</w:t>
            </w:r>
          </w:p>
        </w:tc>
        <w:tc>
          <w:tcPr>
            <w:tcW w:type="dxa" w:w="1728"/>
          </w:tcPr>
          <w:p>
            <w:r>
              <w:rPr>
                <w:b/>
                <w:sz w:val="20"/>
              </w:rPr>
              <w:t>Effort</w:t>
            </w:r>
          </w:p>
        </w:tc>
      </w:tr>
      <w:tr>
        <w:tc>
          <w:tcPr>
            <w:tcW w:type="dxa" w:w="1728"/>
          </w:tcPr>
          <w:p>
            <w:r>
              <w:rPr>
                <w:sz w:val="20"/>
              </w:rPr>
              <w:t>T1</w:t>
            </w:r>
          </w:p>
        </w:tc>
        <w:tc>
          <w:tcPr>
            <w:tcW w:type="dxa" w:w="1728"/>
          </w:tcPr>
          <w:p>
            <w:r>
              <w:rPr>
                <w:sz w:val="20"/>
              </w:rPr>
              <w:t>Zenodo/DOI for code</w:t>
            </w:r>
          </w:p>
        </w:tc>
        <w:tc>
          <w:tcPr>
            <w:tcW w:type="dxa" w:w="1728"/>
          </w:tcPr>
          <w:p>
            <w:r>
              <w:rPr>
                <w:sz w:val="20"/>
              </w:rPr>
              <w:t>Editor</w:t>
            </w:r>
          </w:p>
        </w:tc>
        <w:tc>
          <w:tcPr>
            <w:tcW w:type="dxa" w:w="1728"/>
          </w:tcPr>
          <w:p>
            <w:r>
              <w:rPr>
                <w:sz w:val="20"/>
              </w:rPr>
              <w:t>High</w:t>
            </w:r>
          </w:p>
        </w:tc>
        <w:tc>
          <w:tcPr>
            <w:tcW w:type="dxa" w:w="1728"/>
          </w:tcPr>
          <w:p>
            <w:r>
              <w:rPr>
                <w:sz w:val="20"/>
              </w:rPr>
              <w:t>Low</w:t>
            </w:r>
          </w:p>
        </w:tc>
      </w:tr>
      <w:tr>
        <w:tc>
          <w:tcPr>
            <w:tcW w:type="dxa" w:w="1728"/>
          </w:tcPr>
          <w:p>
            <w:r>
              <w:rPr>
                <w:sz w:val="20"/>
              </w:rPr>
              <w:t>T2</w:t>
            </w:r>
          </w:p>
        </w:tc>
        <w:tc>
          <w:tcPr>
            <w:tcW w:type="dxa" w:w="1728"/>
          </w:tcPr>
          <w:p>
            <w:r>
              <w:rPr>
                <w:sz w:val="20"/>
              </w:rPr>
              <w:t>Tumoroscope + NB regression comparison</w:t>
            </w:r>
          </w:p>
        </w:tc>
        <w:tc>
          <w:tcPr>
            <w:tcW w:type="dxa" w:w="1728"/>
          </w:tcPr>
          <w:p>
            <w:r>
              <w:rPr>
                <w:sz w:val="20"/>
              </w:rPr>
              <w:t>R1 Major 2</w:t>
            </w:r>
          </w:p>
        </w:tc>
        <w:tc>
          <w:tcPr>
            <w:tcW w:type="dxa" w:w="1728"/>
          </w:tcPr>
          <w:p>
            <w:r>
              <w:rPr>
                <w:sz w:val="20"/>
              </w:rPr>
              <w:t>High</w:t>
            </w:r>
          </w:p>
        </w:tc>
        <w:tc>
          <w:tcPr>
            <w:tcW w:type="dxa" w:w="1728"/>
          </w:tcPr>
          <w:p>
            <w:r>
              <w:rPr>
                <w:sz w:val="20"/>
              </w:rPr>
              <w:t>Medium</w:t>
            </w:r>
          </w:p>
        </w:tc>
      </w:tr>
      <w:tr>
        <w:tc>
          <w:tcPr>
            <w:tcW w:type="dxa" w:w="1728"/>
          </w:tcPr>
          <w:p>
            <w:r>
              <w:rPr>
                <w:sz w:val="20"/>
              </w:rPr>
              <w:t>T3</w:t>
            </w:r>
          </w:p>
        </w:tc>
        <w:tc>
          <w:tcPr>
            <w:tcW w:type="dxa" w:w="1728"/>
          </w:tcPr>
          <w:p>
            <w:r>
              <w:rPr>
                <w:sz w:val="20"/>
              </w:rPr>
              <w:t>Multi-chain agreement analysis</w:t>
            </w:r>
          </w:p>
        </w:tc>
        <w:tc>
          <w:tcPr>
            <w:tcW w:type="dxa" w:w="1728"/>
          </w:tcPr>
          <w:p>
            <w:r>
              <w:rPr>
                <w:sz w:val="20"/>
              </w:rPr>
              <w:t>R1 Major 3</w:t>
            </w:r>
          </w:p>
        </w:tc>
        <w:tc>
          <w:tcPr>
            <w:tcW w:type="dxa" w:w="1728"/>
          </w:tcPr>
          <w:p>
            <w:r>
              <w:rPr>
                <w:sz w:val="20"/>
              </w:rPr>
              <w:t>High</w:t>
            </w:r>
          </w:p>
        </w:tc>
        <w:tc>
          <w:tcPr>
            <w:tcW w:type="dxa" w:w="1728"/>
          </w:tcPr>
          <w:p>
            <w:r>
              <w:rPr>
                <w:sz w:val="20"/>
              </w:rPr>
              <w:t>Medium-High</w:t>
            </w:r>
          </w:p>
        </w:tc>
      </w:tr>
      <w:tr>
        <w:tc>
          <w:tcPr>
            <w:tcW w:type="dxa" w:w="1728"/>
          </w:tcPr>
          <w:p>
            <w:r>
              <w:rPr>
                <w:sz w:val="20"/>
              </w:rPr>
              <w:t>T4</w:t>
            </w:r>
          </w:p>
        </w:tc>
        <w:tc>
          <w:tcPr>
            <w:tcW w:type="dxa" w:w="1728"/>
          </w:tcPr>
          <w:p>
            <w:r>
              <w:rPr>
                <w:sz w:val="20"/>
              </w:rPr>
              <w:t>Hyperparameter sensitivity analysis</w:t>
            </w:r>
          </w:p>
        </w:tc>
        <w:tc>
          <w:tcPr>
            <w:tcW w:type="dxa" w:w="1728"/>
          </w:tcPr>
          <w:p>
            <w:r>
              <w:rPr>
                <w:sz w:val="20"/>
              </w:rPr>
              <w:t>R1 Major 3</w:t>
            </w:r>
          </w:p>
        </w:tc>
        <w:tc>
          <w:tcPr>
            <w:tcW w:type="dxa" w:w="1728"/>
          </w:tcPr>
          <w:p>
            <w:r>
              <w:rPr>
                <w:sz w:val="20"/>
              </w:rPr>
              <w:t>High</w:t>
            </w:r>
          </w:p>
        </w:tc>
        <w:tc>
          <w:tcPr>
            <w:tcW w:type="dxa" w:w="1728"/>
          </w:tcPr>
          <w:p>
            <w:r>
              <w:rPr>
                <w:sz w:val="20"/>
              </w:rPr>
              <w:t>Medium-High</w:t>
            </w:r>
          </w:p>
        </w:tc>
      </w:tr>
      <w:tr>
        <w:tc>
          <w:tcPr>
            <w:tcW w:type="dxa" w:w="1728"/>
          </w:tcPr>
          <w:p>
            <w:r>
              <w:rPr>
                <w:sz w:val="20"/>
              </w:rPr>
              <w:t>T5</w:t>
            </w:r>
          </w:p>
        </w:tc>
        <w:tc>
          <w:tcPr>
            <w:tcW w:type="dxa" w:w="1728"/>
          </w:tcPr>
          <w:p>
            <w:r>
              <w:rPr>
                <w:sz w:val="20"/>
              </w:rPr>
              <w:t>Bayesian DGE: posterior probability approach</w:t>
            </w:r>
          </w:p>
        </w:tc>
        <w:tc>
          <w:tcPr>
            <w:tcW w:type="dxa" w:w="1728"/>
          </w:tcPr>
          <w:p>
            <w:r>
              <w:rPr>
                <w:sz w:val="20"/>
              </w:rPr>
              <w:t>R1 Major 5</w:t>
            </w:r>
          </w:p>
        </w:tc>
        <w:tc>
          <w:tcPr>
            <w:tcW w:type="dxa" w:w="1728"/>
          </w:tcPr>
          <w:p>
            <w:r>
              <w:rPr>
                <w:sz w:val="20"/>
              </w:rPr>
              <w:t>High</w:t>
            </w:r>
          </w:p>
        </w:tc>
        <w:tc>
          <w:tcPr>
            <w:tcW w:type="dxa" w:w="1728"/>
          </w:tcPr>
          <w:p>
            <w:r>
              <w:rPr>
                <w:sz w:val="20"/>
              </w:rPr>
              <w:t>Medium</w:t>
            </w:r>
          </w:p>
        </w:tc>
      </w:tr>
      <w:tr>
        <w:tc>
          <w:tcPr>
            <w:tcW w:type="dxa" w:w="1728"/>
          </w:tcPr>
          <w:p>
            <w:r>
              <w:rPr>
                <w:sz w:val="20"/>
              </w:rPr>
              <w:t>T6</w:t>
            </w:r>
          </w:p>
        </w:tc>
        <w:tc>
          <w:tcPr>
            <w:tcW w:type="dxa" w:w="1728"/>
          </w:tcPr>
          <w:p>
            <w:r>
              <w:rPr>
                <w:sz w:val="20"/>
              </w:rPr>
              <w:t>GSEA and biological validation</w:t>
            </w:r>
          </w:p>
        </w:tc>
        <w:tc>
          <w:tcPr>
            <w:tcW w:type="dxa" w:w="1728"/>
          </w:tcPr>
          <w:p>
            <w:r>
              <w:rPr>
                <w:sz w:val="20"/>
              </w:rPr>
              <w:t>R1 Major 7, R2.3</w:t>
            </w:r>
          </w:p>
        </w:tc>
        <w:tc>
          <w:tcPr>
            <w:tcW w:type="dxa" w:w="1728"/>
          </w:tcPr>
          <w:p>
            <w:r>
              <w:rPr>
                <w:sz w:val="20"/>
              </w:rPr>
              <w:t>High</w:t>
            </w:r>
          </w:p>
        </w:tc>
        <w:tc>
          <w:tcPr>
            <w:tcW w:type="dxa" w:w="1728"/>
          </w:tcPr>
          <w:p>
            <w:r>
              <w:rPr>
                <w:sz w:val="20"/>
              </w:rPr>
              <w:t>Medium</w:t>
            </w:r>
          </w:p>
        </w:tc>
      </w:tr>
      <w:tr>
        <w:tc>
          <w:tcPr>
            <w:tcW w:type="dxa" w:w="1728"/>
          </w:tcPr>
          <w:p>
            <w:r>
              <w:rPr>
                <w:sz w:val="20"/>
              </w:rPr>
              <w:t>T7</w:t>
            </w:r>
          </w:p>
        </w:tc>
        <w:tc>
          <w:tcPr>
            <w:tcW w:type="dxa" w:w="1728"/>
          </w:tcPr>
          <w:p>
            <w:r>
              <w:rPr>
                <w:sz w:val="20"/>
              </w:rPr>
              <w:t>Reference-free deconvolution comparison (Tangram/LDA)</w:t>
            </w:r>
          </w:p>
        </w:tc>
        <w:tc>
          <w:tcPr>
            <w:tcW w:type="dxa" w:w="1728"/>
          </w:tcPr>
          <w:p>
            <w:r>
              <w:rPr>
                <w:sz w:val="20"/>
              </w:rPr>
              <w:t>R1 Major 9, R2.2</w:t>
            </w:r>
          </w:p>
        </w:tc>
        <w:tc>
          <w:tcPr>
            <w:tcW w:type="dxa" w:w="1728"/>
          </w:tcPr>
          <w:p>
            <w:r>
              <w:rPr>
                <w:sz w:val="20"/>
              </w:rPr>
              <w:t>Medium</w:t>
            </w:r>
          </w:p>
        </w:tc>
        <w:tc>
          <w:tcPr>
            <w:tcW w:type="dxa" w:w="1728"/>
          </w:tcPr>
          <w:p>
            <w:r>
              <w:rPr>
                <w:sz w:val="20"/>
              </w:rPr>
              <w:t>Medium</w:t>
            </w:r>
          </w:p>
        </w:tc>
      </w:tr>
      <w:tr>
        <w:tc>
          <w:tcPr>
            <w:tcW w:type="dxa" w:w="1728"/>
          </w:tcPr>
          <w:p>
            <w:r>
              <w:rPr>
                <w:sz w:val="20"/>
              </w:rPr>
              <w:t>T8</w:t>
            </w:r>
          </w:p>
        </w:tc>
        <w:tc>
          <w:tcPr>
            <w:tcW w:type="dxa" w:w="1728"/>
          </w:tcPr>
          <w:p>
            <w:r>
              <w:rPr>
                <w:sz w:val="20"/>
              </w:rPr>
              <w:t>Assumption-violating simulation scenario</w:t>
            </w:r>
          </w:p>
        </w:tc>
        <w:tc>
          <w:tcPr>
            <w:tcW w:type="dxa" w:w="1728"/>
          </w:tcPr>
          <w:p>
            <w:r>
              <w:rPr>
                <w:sz w:val="20"/>
              </w:rPr>
              <w:t>R2.1</w:t>
            </w:r>
          </w:p>
        </w:tc>
        <w:tc>
          <w:tcPr>
            <w:tcW w:type="dxa" w:w="1728"/>
          </w:tcPr>
          <w:p>
            <w:r>
              <w:rPr>
                <w:sz w:val="20"/>
              </w:rPr>
              <w:t>Medium</w:t>
            </w:r>
          </w:p>
        </w:tc>
        <w:tc>
          <w:tcPr>
            <w:tcW w:type="dxa" w:w="1728"/>
          </w:tcPr>
          <w:p>
            <w:r>
              <w:rPr>
                <w:sz w:val="20"/>
              </w:rPr>
              <w:t>Medium</w:t>
            </w:r>
          </w:p>
        </w:tc>
      </w:tr>
      <w:tr>
        <w:tc>
          <w:tcPr>
            <w:tcW w:type="dxa" w:w="1728"/>
          </w:tcPr>
          <w:p>
            <w:r>
              <w:rPr>
                <w:sz w:val="20"/>
              </w:rPr>
              <w:t>T9</w:t>
            </w:r>
          </w:p>
        </w:tc>
        <w:tc>
          <w:tcPr>
            <w:tcW w:type="dxa" w:w="1728"/>
          </w:tcPr>
          <w:p>
            <w:r>
              <w:rPr>
                <w:sz w:val="20"/>
              </w:rPr>
              <w:t>Runtime and scalability analysis</w:t>
            </w:r>
          </w:p>
        </w:tc>
        <w:tc>
          <w:tcPr>
            <w:tcW w:type="dxa" w:w="1728"/>
          </w:tcPr>
          <w:p>
            <w:r>
              <w:rPr>
                <w:sz w:val="20"/>
              </w:rPr>
              <w:t>R2.4</w:t>
            </w:r>
          </w:p>
        </w:tc>
        <w:tc>
          <w:tcPr>
            <w:tcW w:type="dxa" w:w="1728"/>
          </w:tcPr>
          <w:p>
            <w:r>
              <w:rPr>
                <w:sz w:val="20"/>
              </w:rPr>
              <w:t>Medium</w:t>
            </w:r>
          </w:p>
        </w:tc>
        <w:tc>
          <w:tcPr>
            <w:tcW w:type="dxa" w:w="1728"/>
          </w:tcPr>
          <w:p>
            <w:r>
              <w:rPr>
                <w:sz w:val="20"/>
              </w:rPr>
              <w:t>Medium</w:t>
            </w:r>
          </w:p>
        </w:tc>
      </w:tr>
      <w:tr>
        <w:tc>
          <w:tcPr>
            <w:tcW w:type="dxa" w:w="1728"/>
          </w:tcPr>
          <w:p>
            <w:r>
              <w:rPr>
                <w:sz w:val="20"/>
              </w:rPr>
              <w:t>T10</w:t>
            </w:r>
          </w:p>
        </w:tc>
        <w:tc>
          <w:tcPr>
            <w:tcW w:type="dxa" w:w="1728"/>
          </w:tcPr>
          <w:p>
            <w:r>
              <w:rPr>
                <w:sz w:val="20"/>
              </w:rPr>
              <w:t>Supplementary variable/parameter table</w:t>
            </w:r>
          </w:p>
        </w:tc>
        <w:tc>
          <w:tcPr>
            <w:tcW w:type="dxa" w:w="1728"/>
          </w:tcPr>
          <w:p>
            <w:r>
              <w:rPr>
                <w:sz w:val="20"/>
              </w:rPr>
              <w:t>R1 Minor 1</w:t>
            </w:r>
          </w:p>
        </w:tc>
        <w:tc>
          <w:tcPr>
            <w:tcW w:type="dxa" w:w="1728"/>
          </w:tcPr>
          <w:p>
            <w:r>
              <w:rPr>
                <w:sz w:val="20"/>
              </w:rPr>
              <w:t>Low</w:t>
            </w:r>
          </w:p>
        </w:tc>
        <w:tc>
          <w:tcPr>
            <w:tcW w:type="dxa" w:w="1728"/>
          </w:tcPr>
          <w:p>
            <w:r>
              <w:rPr>
                <w:sz w:val="20"/>
              </w:rPr>
              <w:t>Low</w:t>
            </w:r>
          </w:p>
        </w:tc>
      </w:tr>
      <w:tr>
        <w:tc>
          <w:tcPr>
            <w:tcW w:type="dxa" w:w="1728"/>
          </w:tcPr>
          <w:p>
            <w:r>
              <w:rPr>
                <w:sz w:val="20"/>
              </w:rPr>
              <w:t>T11</w:t>
            </w:r>
          </w:p>
        </w:tc>
        <w:tc>
          <w:tcPr>
            <w:tcW w:type="dxa" w:w="1728"/>
          </w:tcPr>
          <w:p>
            <w:r>
              <w:rPr>
                <w:sz w:val="20"/>
              </w:rPr>
              <w:t>Mutation count reporting</w:t>
            </w:r>
          </w:p>
        </w:tc>
        <w:tc>
          <w:tcPr>
            <w:tcW w:type="dxa" w:w="1728"/>
          </w:tcPr>
          <w:p>
            <w:r>
              <w:rPr>
                <w:sz w:val="20"/>
              </w:rPr>
              <w:t>R1 Minor 5</w:t>
            </w:r>
          </w:p>
        </w:tc>
        <w:tc>
          <w:tcPr>
            <w:tcW w:type="dxa" w:w="1728"/>
          </w:tcPr>
          <w:p>
            <w:r>
              <w:rPr>
                <w:sz w:val="20"/>
              </w:rPr>
              <w:t>Low</w:t>
            </w:r>
          </w:p>
        </w:tc>
        <w:tc>
          <w:tcPr>
            <w:tcW w:type="dxa" w:w="1728"/>
          </w:tcPr>
          <w:p>
            <w:r>
              <w:rPr>
                <w:sz w:val="20"/>
              </w:rPr>
              <w:t>Low</w:t>
            </w:r>
          </w:p>
        </w:tc>
      </w:tr>
      <w:tr>
        <w:tc>
          <w:tcPr>
            <w:tcW w:type="dxa" w:w="1728"/>
          </w:tcPr>
          <w:p>
            <w:r>
              <w:rPr>
                <w:sz w:val="20"/>
              </w:rPr>
              <w:t>T12</w:t>
            </w:r>
          </w:p>
        </w:tc>
        <w:tc>
          <w:tcPr>
            <w:tcW w:type="dxa" w:w="1728"/>
          </w:tcPr>
          <w:p>
            <w:r>
              <w:rPr>
                <w:sz w:val="20"/>
              </w:rPr>
              <w:t>Check emails for saved MCMC chains</w:t>
            </w:r>
          </w:p>
        </w:tc>
        <w:tc>
          <w:tcPr>
            <w:tcW w:type="dxa" w:w="1728"/>
          </w:tcPr>
          <w:p>
            <w:r>
              <w:rPr>
                <w:sz w:val="20"/>
              </w:rPr>
              <w:t>Ewa's comment</w:t>
            </w:r>
          </w:p>
        </w:tc>
        <w:tc>
          <w:tcPr>
            <w:tcW w:type="dxa" w:w="1728"/>
          </w:tcPr>
          <w:p>
            <w:r>
              <w:rPr>
                <w:sz w:val="20"/>
              </w:rPr>
              <w:t>High</w:t>
            </w:r>
          </w:p>
        </w:tc>
        <w:tc>
          <w:tcPr>
            <w:tcW w:type="dxa" w:w="1728"/>
          </w:tcPr>
          <w:p>
            <w:r>
              <w:rPr>
                <w:sz w:val="20"/>
              </w:rPr>
              <w:t>Low</w:t>
            </w:r>
          </w:p>
        </w:tc>
      </w:tr>
    </w:tbl>
    <w:p/>
    <w:p>
      <w:pPr>
        <w:pStyle w:val="Heading2"/>
      </w:pPr>
      <w:r>
        <w:rPr>
          <w:color w:val="000000"/>
        </w:rPr>
        <w:t>Detailed Plans</w:t>
      </w:r>
    </w:p>
    <w:p>
      <w:r>
        <w:rPr>
          <w:b/>
          <w:color w:val="B40000"/>
          <w:sz w:val="22"/>
        </w:rPr>
        <w:t>T1: Zenodo/DOI for code</w:t>
      </w:r>
    </w:p>
    <w:p>
      <w:r>
        <w:rPr>
          <w:sz w:val="20"/>
        </w:rPr>
        <w:t>Plan: Create a Zenodo release from the GitHub repository. Update the \textbf{Availability} statement in the abstract with the archival DOI alongside the GitHub link.</w:t>
      </w:r>
    </w:p>
    <w:p/>
    <w:p>
      <w:r>
        <w:rPr>
          <w:b/>
          <w:color w:val="B40000"/>
          <w:sz w:val="22"/>
        </w:rPr>
        <w:t>T2: Tumoroscope + NB regression comparison</w:t>
      </w:r>
    </w:p>
    <w:p>
      <w:r>
        <w:rPr>
          <w:sz w:val="20"/>
        </w:rPr>
        <w:t>Plan: Implement NB regression as a post-processing step after Tumoroscope (using scipy or statsmodels GLM with NB family). Run on all 3 simulation setups and prostate data. Add as additional bar/line in Figure 2 and Figure 5. This isolates the effect of the NB distribution from the joint inference benefit.</w:t>
      </w:r>
    </w:p>
    <w:p/>
    <w:p>
      <w:r>
        <w:rPr>
          <w:b/>
          <w:color w:val="B40000"/>
          <w:sz w:val="22"/>
        </w:rPr>
        <w:t>T3: Multi-chain agreement analysis</w:t>
      </w:r>
    </w:p>
    <w:p>
      <w:r>
        <w:rPr>
          <w:sz w:val="20"/>
        </w:rPr>
        <w:t>Plan: Check emails for saved prostate chain results. If available, compute pairwise Pearson correlations of H_sk and B_kg across chains. If not available, run 5-10 independent chains on prostate data or on the basic simulation setup. Present correlation heatmap or summary statistics as supplementary figure.</w:t>
      </w:r>
    </w:p>
    <w:p/>
    <w:p>
      <w:r>
        <w:rPr>
          <w:b/>
          <w:color w:val="B40000"/>
          <w:sz w:val="22"/>
        </w:rPr>
        <w:t>T4: Hyperparameter sensitivity analysis</w:t>
      </w:r>
    </w:p>
    <w:p>
      <w:r>
        <w:rPr>
          <w:sz w:val="20"/>
        </w:rPr>
        <w:t>Plan: Perturb alpha_g, beta, and p_g by +/-25% and +/-50% around their data-driven estimates. Run ClonalGE on simulated (basic) or prostate data for each perturbation. Report changes in B_kg (MAE or correlation) and H_sk. Present as a supplementary table/figure.</w:t>
      </w:r>
    </w:p>
    <w:p/>
    <w:p>
      <w:r>
        <w:rPr>
          <w:b/>
          <w:color w:val="B40000"/>
          <w:sz w:val="22"/>
        </w:rPr>
        <w:t>T5: Bayesian DGE: posterior probability approach</w:t>
      </w:r>
    </w:p>
    <w:p>
      <w:r>
        <w:rPr>
          <w:sz w:val="20"/>
        </w:rPr>
        <w:t>Plan: From post-burn-in MCMC samples, for each gene g and clone pair (k1, k2), compute fraction of samples where B_{k1,g} &gt; B_{k2,g}. Replace Wilcoxon test results in Figure 3b with posterior probability heatmap. Update Methods and Results text. Use these probabilities for GSEA gene ranking.</w:t>
      </w:r>
    </w:p>
    <w:p/>
    <w:p>
      <w:r>
        <w:rPr>
          <w:b/>
          <w:color w:val="B40000"/>
          <w:sz w:val="22"/>
        </w:rPr>
        <w:t>T6: GSEA and biological validation</w:t>
      </w:r>
    </w:p>
    <w:p>
      <w:r>
        <w:rPr>
          <w:sz w:val="20"/>
        </w:rPr>
        <w:t>Plan: Rank genes by P(B_{k,g} &gt; B_{other,g} | Data) for each clone. Run GSEA using MSigDB Hallmarks and KEGG gene sets (via gseapy or fgsea). Check overlap with COSMIC cancer gene census for prostate. Add literature-based discussion of key genes (KLK family, MSMB, CLDN3). Add as supplementary figures.</w:t>
      </w:r>
    </w:p>
    <w:p/>
    <w:p>
      <w:r>
        <w:rPr>
          <w:b/>
          <w:sz w:val="22"/>
        </w:rPr>
        <w:t>T7: Reference-free deconvolution comparison (Tangram/LDA)</w:t>
      </w:r>
    </w:p>
    <w:p>
      <w:r>
        <w:rPr>
          <w:sz w:val="20"/>
        </w:rPr>
        <w:t>Plan: Apply Tangram (or an LDA-based topic model like STdeconvolve) to simulated data, treating K clones as K cell types. Compare inferred B and H against ground truth and ClonalGE results. If Tangram requires a reference, use STdeconvolve as the reference-free alternative. Report in supplementary.</w:t>
      </w:r>
    </w:p>
    <w:p/>
    <w:p>
      <w:r>
        <w:rPr>
          <w:b/>
          <w:sz w:val="22"/>
        </w:rPr>
        <w:t>T8: Assumption-violating simulation scenario</w:t>
      </w:r>
    </w:p>
    <w:p>
      <w:r>
        <w:rPr>
          <w:sz w:val="20"/>
        </w:rPr>
        <w:t>Plan: Design a simulation where: (a) gene expression follows a zero-inflated NB instead of standard NB, and/or (b) systematic batch effects are added between simulated sections. Run ClonalGE and report performance degradation (if any) compared to standard setups. Add to simulation results.</w:t>
      </w:r>
    </w:p>
    <w:p/>
    <w:p>
      <w:r>
        <w:rPr>
          <w:b/>
          <w:sz w:val="22"/>
        </w:rPr>
        <w:t>T9: Runtime and scalability analysis</w:t>
      </w:r>
    </w:p>
    <w:p>
      <w:r>
        <w:rPr>
          <w:sz w:val="20"/>
        </w:rPr>
        <w:t>Plan: Record wall-clock time for basic, low_variance, and high_coverage setups. Then vary S in {100, 300, 600}, G in {25, 50, 100, 500}, and I in {100, 200, 400} independently while holding others at basic values. Plot runtime vs. each parameter. Report hardware specs. Add as supplementary table/figure.</w:t>
      </w:r>
    </w:p>
    <w:p/>
    <w:p>
      <w:r>
        <w:rPr>
          <w:b/>
          <w:sz w:val="22"/>
        </w:rPr>
        <w:t>T10: Supplementary variable/parameter table</w:t>
      </w:r>
    </w:p>
    <w:p>
      <w:r>
        <w:rPr>
          <w:sz w:val="20"/>
        </w:rPr>
        <w:t>Plan: Create a comprehensive table listing every variable and parameter in the model: symbol, name, dimension, type (observed/latent/hyperparameter), and brief description.</w:t>
      </w:r>
    </w:p>
    <w:p/>
    <w:p>
      <w:r>
        <w:rPr>
          <w:b/>
          <w:sz w:val="22"/>
        </w:rPr>
        <w:t>T11: Mutation count reporting</w:t>
      </w:r>
    </w:p>
    <w:p>
      <w:r>
        <w:rPr>
          <w:sz w:val="20"/>
        </w:rPr>
        <w:t>Plan: Report: (a) total mutations called by Vardict, (b) mutations after p-value filtering, (c) mutations present in both DNA-seq and ST data. Add to Methods.</w:t>
      </w:r>
    </w:p>
    <w:p/>
    <w:p>
      <w:r>
        <w:rPr>
          <w:b/>
          <w:color w:val="B40000"/>
          <w:sz w:val="22"/>
        </w:rPr>
        <w:t>T12: Check emails for saved MCMC chains</w:t>
      </w:r>
    </w:p>
    <w:p>
      <w:r>
        <w:rPr>
          <w:sz w:val="20"/>
        </w:rPr>
        <w:t>Plan: Search email for any saved MCMC chain output files from previous runs on prostate data. These could be used directly for T3 and T5 without re-running.</w:t>
      </w:r>
    </w:p>
    <w:p/>
    <w:p>
      <w:r>
        <w:br w:type="page"/>
      </w:r>
    </w:p>
    <w:p>
      <w:pPr>
        <w:pStyle w:val="Title"/>
      </w:pPr>
      <w:r>
        <w:rPr>
          <w:color w:val="00008B"/>
        </w:rPr>
        <w:t>Summary of Suggested LaTeX Changes</w:t>
      </w:r>
    </w:p>
    <w:p>
      <w:r>
        <w:rPr>
          <w:sz w:val="22"/>
        </w:rPr>
        <w:t>All changes below should be marked in dark blue (RGB: 0, 0, 139) or red in the revised manuscript.</w:t>
      </w:r>
    </w:p>
    <w:p/>
    <w:p>
      <w:r>
        <w:rPr>
          <w:b/>
          <w:color w:val="00008B"/>
          <w:sz w:val="22"/>
        </w:rPr>
        <w:t>Abstract / Availability</w:t>
      </w:r>
    </w:p>
    <w:p>
      <w:r>
        <w:rPr>
          <w:color w:val="00008B"/>
          <w:sz w:val="20"/>
        </w:rPr>
        <w:t>Add archival DOI from Zenodo alongside the GitHub URL.</w:t>
      </w:r>
    </w:p>
    <w:p/>
    <w:p>
      <w:r>
        <w:rPr>
          <w:b/>
          <w:color w:val="00008B"/>
          <w:sz w:val="22"/>
        </w:rPr>
        <w:t>Methods: ClonalGE model description</w:t>
      </w:r>
    </w:p>
    <w:p>
      <w:r>
        <w:rPr>
          <w:color w:val="00008B"/>
          <w:sz w:val="20"/>
        </w:rPr>
        <w:t>1. Expand discretization explanation (after 'helps avoid numerically too small values').</w:t>
        <w:br/>
        <w:t>2. Add intuition for NB reparameterization after Equation 1.</w:t>
        <w:br/>
        <w:t>3. Add mutation count statistics to data preprocessing.</w:t>
      </w:r>
    </w:p>
    <w:p/>
    <w:p>
      <w:r>
        <w:rPr>
          <w:b/>
          <w:color w:val="00008B"/>
          <w:sz w:val="22"/>
        </w:rPr>
        <w:t>Methods: Differential gene expression</w:t>
      </w:r>
    </w:p>
    <w:p>
      <w:r>
        <w:rPr>
          <w:color w:val="00008B"/>
          <w:sz w:val="20"/>
        </w:rPr>
        <w:t>Replace Wilcoxon test description with Bayesian posterior probability approach:</w:t>
        <w:br/>
        <w:t>P(B_{k1,g} &gt; B_{k2,g} | Data) = S_{&gt;}/S</w:t>
      </w:r>
    </w:p>
    <w:p/>
    <w:p>
      <w:r>
        <w:rPr>
          <w:b/>
          <w:color w:val="00008B"/>
          <w:sz w:val="22"/>
        </w:rPr>
        <w:t>Methods: Computational resources (NEW)</w:t>
      </w:r>
    </w:p>
    <w:p>
      <w:r>
        <w:rPr>
          <w:color w:val="00008B"/>
          <w:sz w:val="20"/>
        </w:rPr>
        <w:t>Add paragraph with runtime analysis and scalability discussion.</w:t>
      </w:r>
    </w:p>
    <w:p/>
    <w:p>
      <w:r>
        <w:rPr>
          <w:b/>
          <w:color w:val="00008B"/>
          <w:sz w:val="22"/>
        </w:rPr>
        <w:t>Results: Simulated data</w:t>
      </w:r>
    </w:p>
    <w:p>
      <w:r>
        <w:rPr>
          <w:color w:val="00008B"/>
          <w:sz w:val="20"/>
        </w:rPr>
        <w:t>1. Add Tumoroscope + NB regression results.</w:t>
        <w:br/>
        <w:t>2. Add assumption-violating scenario results.</w:t>
        <w:br/>
        <w:t>3. Add reference-free comparison (Tangram/LDA) results.</w:t>
      </w:r>
    </w:p>
    <w:p/>
    <w:p>
      <w:r>
        <w:rPr>
          <w:b/>
          <w:color w:val="00008B"/>
          <w:sz w:val="22"/>
        </w:rPr>
        <w:t>Results: Prostate cancer</w:t>
      </w:r>
    </w:p>
    <w:p>
      <w:r>
        <w:rPr>
          <w:color w:val="00008B"/>
          <w:sz w:val="20"/>
        </w:rPr>
        <w:t>1. Frame Y_sg comparison as model fit (not external validation).</w:t>
        <w:br/>
        <w:t>2. Expand biological interpretation of clone-specific genes.</w:t>
        <w:br/>
        <w:t>3. Add GSEA results.</w:t>
        <w:br/>
        <w:t>4. Add COSMIC comparison.</w:t>
        <w:br/>
        <w:t>5. Add multi-chain agreement analysis.</w:t>
      </w:r>
    </w:p>
    <w:p/>
    <w:p>
      <w:r>
        <w:rPr>
          <w:b/>
          <w:color w:val="00008B"/>
          <w:sz w:val="22"/>
        </w:rPr>
        <w:t>Discussion</w:t>
      </w:r>
    </w:p>
    <w:p>
      <w:r>
        <w:rPr>
          <w:color w:val="00008B"/>
          <w:sz w:val="20"/>
        </w:rPr>
        <w:t>1. Add paragraph on clone expression homogeneity limitation.</w:t>
        <w:br/>
        <w:t>2. Add paragraph on mutation sparsity and spatial resolution.</w:t>
        <w:br/>
        <w:t>3. Add paragraph on ideal validation (matched scRNA-seq).</w:t>
        <w:br/>
        <w:t>4. Expand gene selection limitation.</w:t>
      </w:r>
    </w:p>
    <w:p/>
    <w:p>
      <w:r>
        <w:rPr>
          <w:b/>
          <w:color w:val="00008B"/>
          <w:sz w:val="22"/>
        </w:rPr>
        <w:t>Figures</w:t>
      </w:r>
    </w:p>
    <w:p>
      <w:r>
        <w:rPr>
          <w:color w:val="00008B"/>
          <w:sz w:val="20"/>
        </w:rPr>
        <w:t>1. Figure 2: Rename y-axis to 'Relative MAE', add Tumoroscope+NB.</w:t>
        <w:br/>
        <w:t>2. Figure 3a: Clarify normalization in caption.</w:t>
        <w:br/>
        <w:t>3. Figure 3b: Replace p-value heatmap with posterior probability.</w:t>
        <w:br/>
        <w:t>4. Figure 5: Add Tumoroscope+NB comparison.</w:t>
      </w:r>
    </w:p>
    <w:p/>
    <w:p>
      <w:r>
        <w:rPr>
          <w:b/>
          <w:color w:val="00008B"/>
          <w:sz w:val="22"/>
        </w:rPr>
        <w:t>Supplementary</w:t>
      </w:r>
    </w:p>
    <w:p>
      <w:r>
        <w:rPr>
          <w:color w:val="00008B"/>
          <w:sz w:val="20"/>
        </w:rPr>
        <w:t>1. Table S1: Model variable/parameter definitions.</w:t>
        <w:br/>
        <w:t>2. Figure S-new: Multi-chain agreement.</w:t>
        <w:br/>
        <w:t>3. Figure S-new: Hyperparameter sensitivity.</w:t>
        <w:br/>
        <w:t>4. Figure S-new: Runtime scalability.</w:t>
        <w:br/>
        <w:t>5. Figure S-new: GSEA results.</w:t>
        <w:br/>
        <w:t>6. Table S-new: Tangram/LDA comparison.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