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方正小标宋简体"/>
          <w:b/>
          <w:sz w:val="32"/>
        </w:rPr>
        <w:t>关于统一网络社群名誉权纠纷裁判标准、强化司法对社会善意保护的建议</w:t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十六支部  薛艳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近年来，随着微信群、业主群等网络社群的普及，名誉权纠纷持续高发。北京市海淀区人民法院发布的《涉网络名誉权案件审判白皮书》显示，该院受理的涉网络名誉权案件数量曾连续多年成倍增长。与公开网络平台不同，业主群、工作群等熟人社群圈层封闭、指向性强，不实言论虽传播范围有限，却能精准、持久地贬损当事人在生活圈和工作圈中的社会评价，对人格尊严的伤害更为直接。最高人民法院指导案例143号已明确：不特定关系人组成的微信群具有公共空间属性，在此类群组中发布侮辱、诽谤、贬损他人的言论构成名誉权侵权。但从基层司法实践看，此类案件的审理仍存在以下值得关注的问题：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一是损害认定标准与熟人社群传播特点不适应。部分裁判沿用公开平台案件的审理思路，以浏览量小、传播范围有限、“未造成严重损害后果”为由驳回诉请，忽视了熟人圈层中受害人对“社会评价降低”举证困难、而实际影响真实持久的特点，与指导案例143号确立的规则衔接不够。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二是部分案件存在“重息诉、轻是非”倾向。一些裁判以维护邻里和睦、化解矛盾为主要考量，对涉案言论真伪、发布者主观过错不作正面认定，双方“各打五十大板”。这种处理方式虽然结案效率高，却使受害人的合法权益未获司法评价，客观上降低了侵权成本。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三是裁判导向的社会效果值得关注。热心参与业委会监督、社区公益、见义勇为的群众，往往更容易成为不实言论的攻击对象。若此类纠纷得不到是非分明的司法回应，容易挫伤群众参与公共事务的积极性，滋生“多一事不如少一事”的心态，不利于基层治理和社会善意的养成。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为此建议：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一是细化熟人社群名誉权纠纷裁判规则。建议最高人民法院在指导案例143号的基础上，通过司法解释、审判指引或发布系列典型案例，明确业主群、工作群等熟人社群场景下“社会评价降低”的认定方法，综合考量群成员构成、言论指向性、发布持续时间、群组与受害人生活工作圈的重合度等因素；确立“先查言论真伪与主观过错、再衡量损害后果”的审查顺序，防止简单以“后果不严重”驳回诉请。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二是强化此类案件的审判质量监督。建议将名誉权纠纷纳入案件质量评查重点，二审程序对一审未查明言论真伪、未认定是非责任的案件加强实质审查、依法纠正；对调解结案的案件，也应在法律文书中载明基本事实认定，避免“和稀泥”式处理。</w:t>
      </w:r>
    </w:p>
    <w:p>
      <w:pPr>
        <w:spacing w:line="520" w:lineRule="exact"/>
        <w:ind w:firstLine="560"/>
      </w:pPr>
      <w:r>
        <w:rPr>
          <w:rFonts w:ascii="Times New Roman" w:hAnsi="Times New Roman" w:eastAsia="仿宋_GB2312"/>
          <w:b w:val="0"/>
          <w:sz w:val="28"/>
        </w:rPr>
        <w:t>三是发挥司法裁判的价值引领作用。落实《民法典》第九百九十八条关于综合认定人格权侵权责任的规定，加强法官情理法融合裁判能力培训；对侵害公益热心人士名誉权的典型案件加大以案释法力度，通过公正裁判旗帜鲜明地保护善意、制裁诽谤，引导网络社群文明发言，弘扬崇德向善、敢于担当的社会风气。</w:t>
      </w:r>
    </w:p>
    <w:p>
      <w:pPr>
        <w:jc w:val="right"/>
      </w:pPr>
      <w:r>
        <w:rPr>
          <w:rFonts w:ascii="Times New Roman" w:hAnsi="Times New Roman" w:eastAsia="仿宋_GB2312"/>
          <w:b w:val="0"/>
          <w:sz w:val="28"/>
        </w:rPr>
        <w:t>2026年9月4日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