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一、登陆模块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1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149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76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78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登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陆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不规范账号和规范密码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在“登陆页面”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1.在“账号输入框”，键入长度小于二位的账号；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2.在“密码输入框”，键入长度大于四位的密码；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3.点击“登陆”。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1.弹出“账号格式不正确”的提示框；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2.输入框内的账号、密码清空；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3.留在“登陆页面”。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不规范密码和规范账号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在“登陆页面”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1.在“账号输入框”，键入长度大于二位的账号；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2.在“密码输入框”，键入长度小于四位的密码；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3.点击“登陆”。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1.弹出“密码格式不正确”的提示框；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2.输入框内的账号、密码清空；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3.留在“登陆页面”。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不规范账号和不规范密码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在“登陆页面”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1.在“账号输入框”，键入长度小于二位的账号；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2.在“密码输入框”，键入长度小于四位的密码；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3.点击“登陆”。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1.弹出“账号格式不正确”的提示框；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2.输入框内的账号、密码清空；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3.留在“登陆页面”。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密码显示与隐藏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在“登陆页面”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1.在“密码输入框”键入大于零位的密码；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2.点击“密码输入框”右侧“显示”图标。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1.在点击“显示”图标之前，密码为黑色圆点（不可见）；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2.点击“显示”图标之后，密码为输入密码（可见）。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不正确的规范账号和规范密码</w:t>
            </w: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在“登陆页面”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1.在“账号输入框”，键入长度大于二位的账号；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2.在“密码输入框”，键入长度大于四位的密码；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（所输入的账号密码为非正确员工所有）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3.点击“登陆”。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1.弹出“账号密码不正确”提示框；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2.输入框内的账号、密码清空；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3.留在“登陆页面”。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正确的规范账号和规范密码</w:t>
            </w:r>
          </w:p>
        </w:tc>
        <w:tc>
          <w:tcPr>
            <w:tcW w:w="14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在“登陆页面”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1.在“账号输入框”，键入长度大于二位的账号；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2.在“密码输入框”，键入长度大于四位的密码；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（所输入的账号密码为正确员工所有）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3.点击“登陆”。</w:t>
            </w:r>
          </w:p>
        </w:tc>
        <w:tc>
          <w:tcPr>
            <w:tcW w:w="14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进入“主页</w:t>
            </w:r>
            <w:r>
              <w:rPr>
                <w:rFonts w:hint="default"/>
                <w:vertAlign w:val="baseline"/>
                <w:lang w:val="en-US" w:eastAsia="zh-CN"/>
              </w:rPr>
              <w:t>页面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二、主页模块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页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登陆token验证（未过期）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距离上次“正确登陆”还未过24小时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进入小程序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直接进入“主页页面”。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登陆token验证（已过期）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距离上次“正确登陆”过了24小时</w:t>
            </w:r>
          </w:p>
        </w:tc>
        <w:tc>
          <w:tcPr>
            <w:tcW w:w="17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进入小程序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1.显示“token已过期”；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2.进入“登陆页面”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用户名显示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在“主页页面”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显示“某某某，您好”的“欢迎词”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签到验证（未签到）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2.今日还未签到。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1.“签到情况”显示“未签到”；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2.出现可点击的“扫码”图标；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3.无可点击的“签退”按键。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4.无“班次信息显示框”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签到验证（已签到）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2.今日已签到。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1.“签到情况”显示“已签到”；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2.无可点击的“扫码”图标。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3.出现可点击的“签退”按键。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4.有“班次信息显示框”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班次信息显示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2.已签到。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“班次信息”显示用户当日的“班次信息”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正确扫码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2.今日还未签到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1.单击扫码；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2.扫描正确的签到二维码图片。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1.“主页页面”刷新；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2.显示已签到。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非正确扫码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2.今日还未签到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1.点击扫码；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2.扫描非正确的签到二维码。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1.“主页页面”刷新；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2.显示未签到。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进入“查看班次安排”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在“主页页面”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单击“查看班次安排”按键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进入“查看班次安排页面”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2.10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进入“申请/查看请假页面”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在“主页页面”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单击“申请/查看请假页面”按键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进入“申请/查看请假页面”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2.11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进入“申请加班页面”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2.有可点击的“申请加班”按键。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单击“申请加班”按键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进入“申请加班页面”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进入“查看个人信息页面”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在“主页页面”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单击“查看个人信息”按键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进入“查看个人信息按键”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进入“系统发送信息”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在“主页页面”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单击“欢迎词”按键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进入“系统发送信息页面”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下班前签退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2.有可点击的“签退”按键。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3.当前时间在下班前。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单击“签退”按键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1.弹出“成功签退”的提示框；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2.无可点击的“申请加班”按键。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下班后签退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1.在“主页页面”；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2.今日已签到；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3.当前时间在下班后。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单击“签退”按键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1.弹出“成功签退”的提示框；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2.出现可点击的“申请加班”按键。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“定时查询系统”弹出提醒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1.加载过“主页页面”；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2.有发送给当前用户且状态为“unread”的消息；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3.在任一页面。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弹出“有未读消息”的提示框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“未读消息提示框”对“定时查询系统”控制（仅关闭）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1.在任一页面”；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2.弹出“有未读消息”的提示框；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3.未“处理”未读消息。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单击提示框的“确认”按键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1.提示框消失；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2.只要未读消息未被“处理”，系统便不再弹出“有未读消息”的提示框，。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“主页页面的显示”对“定时查询系统”的控制（开启）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1.通过其他页面返回“主页页面”；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2.（在“未读消息”页面）“处理”完所有未读消息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“定时查询系统”开启（由系统控制台可观测到），此时之后若有新消息，将弹出提示框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2.19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rFonts w:hint="default"/>
                <w:vertAlign w:val="baseline"/>
                <w:lang w:val="en-US" w:eastAsia="zh-CN"/>
              </w:rPr>
              <w:t>主页页面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default"/>
                <w:vertAlign w:val="baseline"/>
                <w:lang w:val="en-US" w:eastAsia="zh-CN"/>
              </w:rPr>
              <w:t>显示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rFonts w:hint="default"/>
                <w:vertAlign w:val="baseline"/>
                <w:lang w:val="en-US" w:eastAsia="zh-CN"/>
              </w:rPr>
              <w:t>定时查询系统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vertAlign w:val="baseline"/>
                <w:lang w:val="en-US" w:eastAsia="zh-CN"/>
              </w:rPr>
              <w:t>的控制（</w:t>
            </w: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  <w:r>
              <w:rPr>
                <w:rFonts w:hint="default"/>
                <w:vertAlign w:val="baseline"/>
                <w:lang w:val="en-US" w:eastAsia="zh-CN"/>
              </w:rPr>
              <w:t>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1.通过其他页面返回“主页页面”；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2.（在“未读消息”页面）未“处理”完所有未读消息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“定时查询系统”未开启（由系统控制台可观测到），此时之后若有新消息，不会弹出提示框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2.20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“主页页面”关闭对“定时查询系统”的控制（关闭）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在任一页面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关闭“主页页面”（退出小程序）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“定时查询系统”关闭（由系统控制台可观测到）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三、查看班次安排模块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看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安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排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查看显示的当前月份的某一日的班次安排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在“查看班次安排页面”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单击日历上的某一日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1.弹出对应该日的正确的“班次安排信息框”；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2.“红色标记”聚焦在该日。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“班次安排信息框”的关闭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1.在“查看班次安排页面；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2.已弹出在“查看班次安排信息框”。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单击框外的任一位置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“查看班次安排信息框”消失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改变月份（增和减）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1.在“查看班次安排页面；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2.无“查看班次安排信息框”。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单击“月份栏”的“向左（右）”按键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月份相应减（加）一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查看改变月份后的某一日班次安排（该日安排班次）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1.在“查看班次安排页面；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2.无“查看班次安排信息框”；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3.当前显示月份不是初始月份。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单击日历上的某一日且该日安排班次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1.弹出对应该日的正确的“班次安排信息框”；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2.“红色标记”聚焦在该日。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查看改变月份后的某一日班次安排（该日未安排班次）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1.在“查看班次安排页面；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2.无“查看班次安排信息框”；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3.当前显示月份不是初始月份。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单击日历上的某一日且该日未安排班次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1.弹出“该日未安排工作”的提示框；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2.“红色标记”聚焦在该日。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从任一月份回到当月当日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1.在“查看班次安排页面；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2.无“查看班次安排信息框”；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3.当前显示月份不是初始月份。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单击“回到今天”按键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1.显示日历回到为当月；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2.“红色标记”聚焦在当日。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回到主页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在“查看班次安排页面”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回到“主页页面”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四、申请/查看请假模块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和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看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请假起始日期的选择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1.单击“请假起始日期时间选择”按键；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2.选择“年月日时分秒”；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3.单击“确定（取消）”按键。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1.从屏幕下方弹出可选择“年月日时分秒”的“选择框”；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2.可以滚动“选择框”中的相应选项；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3.单击“确认（取消）”后，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选择框消失且“请假起始日期时间显示框”（不）改变为选择的时间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请假结束日期的选择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1.单击“请假结束日期时间选择”按键；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2.选择“年月日时分秒”；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3.单击“确定（取消）”按键。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1.从屏幕下方弹出可选择“年月日时分秒”的“选择框”；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2.可以滚动“选择框”中的相应选项；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3.单击“确认（取消）”后，选择框消失且“请假结束日期时间显示框”（不）改变为选择的时间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不规范起始、结束时间和不规范申请加班理由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1.选择的起始日期晚于结束日期；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2.填写字数小于3或大于1000；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3.单击“提交请假。申请”按键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弹出“结束日期应大于开始日期”的提示框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不规范起始、结束时间和规范申请加班理由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1.选择的起始日期晚于结束日期；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2.填写字数大于等于3或小于等于1000；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3.单击“提交请假申请”按键。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弹出“结束日期应大于开始日期”的提示框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规范起始、结束时间和不规范申请加班理由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1.选择的起始日期早于结束日期；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2.单击文本输入框；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3.填写字数小于3或大于1000；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4.单击“提交请假申请”按键。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1.单击文本输入框后弹出软键盘；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2.弹出“理由应在3-1000个字”的提示框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规范起始、结束时间和规范申请加班理由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1.选择的起始日期早于结束日期；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2.单击文本输入框；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3.填写字数大于等于3或小于等于1000；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4.单击“提交请假申请”按键。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1.单击文本输入框后弹出软键盘；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2.弹出“提交成功”的提示框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回到主页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回到“主页页面”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查看已申请的请假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在“申请/查看请假页面”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单击“查看已申请的请假”按键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进入“进行中的请假申请页面”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选择请假项目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在“进行中的请假申请页面”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1.单击“当前选择”信息框；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2.滑动选定某一请假项目；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3.单击“确定（取消）”按键。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1.弹出当前用户进行中的请假申请的“项目”选择框；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2.可以滚动选择框中的选项；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3.单击“确定（取消）”后，选择框消失且“当前选择”信息框和请假相关信息框（不）改变为所选择的请假项目。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4.10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显示请假相关信息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在“进行中的请假申请页面”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请假相关信息框为“当前选择”信息框中对应请假项目的相关信息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4.11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销假（允许）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1.在“进行中的请假申请页面”；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2.当前选择的请假项目的状态为“通过”。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单击“销假”按键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1.“销假”按键显示状态为“可点击”；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2.单击“销假”按键后弹出“销假成功”的提示框；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3.请假相关信息框中的状态标识更新为“销假”。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销假（不允许）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1.在“进行中的请假申请页面”；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2.当前选择的请假项目的状态为“不通过”。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1.“销假”按键显示状态为“不可点击”；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2.点击“销假”按键，无反应。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回到申请请假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在“进行中的请假申请页面”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回到“申请/查看请假页面”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五、申请加班模块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不规范申请加班理由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在“申请加班页面”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1.单击文本输入框；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2.填写字数小于3或大于1000；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3.单击“Submit”按键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1.单击文本输入框后弹出软键盘；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2.弹出“理由应在3-1000个字”的提示框。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规范申请加班理由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在“申请加班页面”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1.单击文本输入框；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2.填写字数大于等于3或小于等于1000；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3.单击“Submit”。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1.单击文本输入框后弹出软键盘；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2.弹出“提交成功”的提示框。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重置文本框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1.在“申请加班页面”；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2.文本框内有文字。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单击“Reset”按键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文本框内的文字消失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回到主页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在“申请加班页面”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回到“主页页面”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六、查看个人信息模块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看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信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息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显示个人信息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在“查看个人信息页面”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“个人信息显示框”正确显示相关信息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选择图片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在“查看个人信息页面”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1.单击“选择照片”按键；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2.选择某一照片并确认。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1.弹出相册可选择照片；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2.选择照片时只能选择一张；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3.选择新照片并确认后“个人信息显示框”中的“图片”区域更新为新照片。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上传图片（有新图片）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2.已选择新照片。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单击“确认上传”按键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弹出“图片上传成功”的提示框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上传图片（无新图片）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2.未选择新照片。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单击“确认上传”按键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弹出“您还未选择照片”的提示框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回到主页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在“查看个人信息页面”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回到“主页页面”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在“查看个人信息页面”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单击“修改密码”按键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弹出“修改密码”框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规范的“原密码”和规范的“新密码”和规范的“新密码确认”且“新密码”与“新密码确认”一致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3.在“新密码确认输入框”输入位数不小于4且与“新密码输入框”一致的密码；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弹出“密码修改成功”的提示框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不规范的“原密码”和规范的“新密码”和规范的“新密码确认”且“新密码”与“新密码确认”一致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规范的“原密码”和不规范的“新密码”和规范的“新密码确认”且“新密码”与“新密码确认”一致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6.10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规范的“原密码”和规范的“新密码”和不规范的“新密码确认”且“新密码”与“新密码确认”一致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6.11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规范的“原密码”和不规范的“新密码”和不规范的“新密码确认”且“新密码”与“新密码确认”一致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不规范的“原密码”和规范的“新密码”和不规范的“新密码确认”且“新密码”与“新密码确认”一致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不规范的“原密码”和不规范的“新密码”和规范的“新密码确认”且“新密码”与“新密码确认”一致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不规范的“原密码”和不规范的“新密码”和不规范的“新密码确认”且“新密码”与“新密码确认”一致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规范的“原密码”和规范的“新密码”和规范的“新密码确认”且“新密码”与“新密码确认”不一致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弹出“两次输入的新密码不一致”的提示框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不规范的“原密码”和规范的“新密码”和规范的“新密码确认”且“新密码”与“新密码确认”不一致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规范的“原密码”和不规范的“新密码”和规范的“新密码确认”且“新密码”与“新密码确认”不一致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6.18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规范的“原密码”和规范的“新密码”和不规范的“新密码确认”且“新密码”与“新密码确认”不一致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6.19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规范的“原密码”和不规范的“新密码”和不规范的“新密码确认”且“新密码”与“新密码确认”不一致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6.20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不规范的“原密码”和规范的“新密码”和不规范的“新密码确认”且“新密码”与“新密码确认”不一致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6.21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不规范的“原密码”和不规范的“新密码”和规范的“新密码确认”且“新密码”与“新密码确认”不一致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3.在“新密码确认输入框”输入位数不小于4且与“新密码输入框”不一致的密码；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不规范的“原密码”和不规范的“新密码”和不规范的“新密码确认”且“新密码”与“新密码确认”不一致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1.在“原密码输入框”输入位数小于4的密码；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2.在“新密码输入框”输入位小于4的密码；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3.在“新密码确认输入框”输入位数小于4且与“新密码输入框”不一致的密码；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4.单击提交。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弹出“密码最短为4位”的提示框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直接重置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3.已在任一输入框输入密码。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单击“重置”按键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输入框的输入内容清空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间接重置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3.已在任一输入框输入密码。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1.关闭“修改密码框”；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2.单击“修改密码”按键。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输入框的输入内容为空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密码显示与隐藏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1.在“查看个人信息页面”；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2.已弹出“修改密码”框。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1.在“密码输入框”键入大于零位的密码；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2.点击“输入框”右侧的“显示”图标。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1.在点击“显示”图标之前，密码为黑色圆点（不可见）；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2.点击“显示”图标之后，密码为输入密码（可见）。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七、查看系统消息模块</w:t>
      </w:r>
    </w:p>
    <w:tbl>
      <w:tblPr>
        <w:tblStyle w:val="7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714"/>
        <w:gridCol w:w="1446"/>
        <w:gridCol w:w="1494"/>
        <w:gridCol w:w="1762"/>
        <w:gridCol w:w="147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</w:t>
            </w:r>
          </w:p>
        </w:tc>
        <w:tc>
          <w:tcPr>
            <w:tcW w:w="714" w:type="dxa"/>
            <w:vMerge w:val="restart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看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消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息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显示未读消息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在“查看系统发送消息（未读）页面”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显示系统发送且状态为“unread”的消息及其相关信息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查看某条未读消息（不止一条消息）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1.在“查看系统发送消息（未读）页面”；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2.有不止一条的未读消息。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单击某条消息的“查看”按键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1.弹出该消息的具体内容框；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2.该内容被标记为“read”且从页面中消失；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7.3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查看某条未读消息（只有一条消息）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1.在“查看系统发送消息（未读）页面”；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2.只有一条未读消息。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单击该条消息的“查看”按键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1.弹出该消息的具体内容框；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2.该内容被标记为“read”且从页面中消失；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3.将控制“主页页面”中的“定时查询系统”在缓存中的变量设置为“true”（由缓存信息观测到）。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清除所有消息（有消息）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1在“查看系统发送消息（未读）页面”；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2.有未读消息。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1.单击“清除所有消息”按键；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2.在弹出的“是否确认清除”提示框中单击“确认（取消）”按键。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1.弹出“是否确认清除”提示框；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2.单击“确认（取消）”按键后，所有消息（不）被标记为“read”且（不）从页面中消失；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3.将控制“主页页面”中的“定时查询系统”在缓存中的变量设置为“true”（由缓存信息观测到）。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清除所有消息（无消息）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1在“查看系统发送消息（未读）页面”；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2.无未读消息。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单击“清除所有消息”按键；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弹出“消息已为空”提示框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7.6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未读消息下拉刷新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在“查看系统发送消息（未读）页面”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下拉页面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页面将刷新，若此时有新的未读消息，将会显示在页面中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7.7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回到主页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在“查看系统发送消息（未读）页面”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回到“主页页面”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7.8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查看已读消息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在“查看系统发送消息（未读）页面”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单击“查看已读消息”按键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进入“查看系统发送消息（已读）页面”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显示已读消息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在“查看系统发送消息（已读）页面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显示系统发送且状态为“read”的消息及其相关信息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7.10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查看某条已读消息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1.在“查看系统发送消息（已读）页面；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2.有已读消息。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单击某消息的“查看”按键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弹出该消息的具体内容框；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7.11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回到未读消息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在“查看系统发送消息（已读）页面</w:t>
            </w: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单击左上角的“返回”按键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回到“查看系统发送消息（未读）页面”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7.12</w:t>
            </w:r>
          </w:p>
        </w:tc>
        <w:tc>
          <w:tcPr>
            <w:tcW w:w="71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已读消息下拉刷新</w:t>
            </w:r>
          </w:p>
        </w:tc>
        <w:tc>
          <w:tcPr>
            <w:tcW w:w="14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在“查看系统发送消息（已读）页面”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下拉页面</w:t>
            </w:r>
          </w:p>
        </w:tc>
        <w:tc>
          <w:tcPr>
            <w:tcW w:w="14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页面将刷新，若此时有新的已读消息，将会显示在页面中</w:t>
            </w:r>
          </w:p>
        </w:tc>
        <w:tc>
          <w:tcPr>
            <w:tcW w:w="1080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368A3"/>
    <w:rsid w:val="11A04681"/>
    <w:rsid w:val="22510166"/>
    <w:rsid w:val="2CCB4798"/>
    <w:rsid w:val="334E1BAD"/>
    <w:rsid w:val="446F6F7D"/>
    <w:rsid w:val="49D368A3"/>
    <w:rsid w:val="4C7E12C8"/>
    <w:rsid w:val="552A2E0F"/>
    <w:rsid w:val="72D35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60" w:beforeLines="0" w:beforeAutospacing="0" w:after="17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2019-06-09T09:01:00Z</dcterms:created>
  <dc:creator>-张鎢睿</dc:creator>
  <cp:lastModifiedBy>-张鎢睿</cp:lastModifiedBy>
  <dcterms:modified xsi:type="dcterms:W3CDTF">2019-06-09T10:26:05Z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