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Garden</w:t>
      </w:r>
      <w:r>
        <w:t xml:space="preserve"> </w:t>
      </w:r>
      <w:r>
        <w:t xml:space="preserve">Experiment</w:t>
      </w:r>
      <w:r>
        <w:t xml:space="preserve"> </w:t>
      </w:r>
      <w:r>
        <w:t xml:space="preserve">Power</w:t>
      </w:r>
      <w:r>
        <w:t xml:space="preserve"> </w:t>
      </w:r>
      <w:r>
        <w:t xml:space="preserve">Analysis</w:t>
      </w:r>
    </w:p>
    <w:p>
      <w:pPr>
        <w:pStyle w:val="Heading1"/>
      </w:pPr>
      <w:bookmarkStart w:id="21" w:name="introduction"/>
      <w:bookmarkEnd w:id="21"/>
      <w:r>
        <w:t xml:space="preserve">Introduction</w:t>
      </w:r>
    </w:p>
    <w:p>
      <w:pPr>
        <w:pStyle w:val="FirstParagraph"/>
      </w:pPr>
      <w:r>
        <w:t xml:space="preserve">To study the effects of biotic factors on early secondary successional plant community we decided to perform manipulative experiments using randomized complete block (RCB) design. For our data we assumed simple one-way classification with one random effect (random intercept model) of the following form:</w:t>
      </w:r>
    </w:p>
    <w:p>
      <w:pPr>
        <w:pStyle w:val="BodyText"/>
      </w:pPr>
      <m:oMathPara>
        <m:oMathParaPr>
          <m:jc m:val="center"/>
        </m:oMathParaPr>
        <m:oMath>
          <m:m>
            <m:mPr>
              <m:baseJc m:val="center"/>
              <m:plcHide m:val="1"/>
              <m:mcs>
                <m:mc>
                  <m:mcPr>
                    <m:mcJc m:val="center"/>
                    <m:count m:val="1"/>
                  </m:mcPr>
                </m:mc>
              </m:mcs>
            </m:mPr>
            <m:mr>
              <m:e>
                <m:r>
                  <m:rPr>
                    <m:sty m:val="p"/>
                    <m:scr m:val="double-struck"/>
                  </m:rPr>
                  <m:t>E</m:t>
                </m:r>
                <m:r>
                  <m:t>[</m:t>
                </m:r>
                <m:sSub>
                  <m:e>
                    <m:r>
                      <m:t>y</m:t>
                    </m:r>
                  </m:e>
                  <m:sub>
                    <m:r>
                      <m:t>i</m:t>
                    </m:r>
                    <m:r>
                      <m:t>j</m:t>
                    </m:r>
                  </m:sub>
                </m:sSub>
                <m:r>
                  <m:t>|</m:t>
                </m:r>
                <m:sSub>
                  <m:e>
                    <m:r>
                      <m:t>a</m:t>
                    </m:r>
                  </m:e>
                  <m:sub>
                    <m:r>
                      <m:t>j</m:t>
                    </m:r>
                  </m:sub>
                </m:sSub>
                <m:r>
                  <m:t>]</m:t>
                </m:r>
                <m:r>
                  <m:t>=</m:t>
                </m:r>
                <m:r>
                  <m:t>μ</m:t>
                </m:r>
                <m:r>
                  <m:t>+</m:t>
                </m:r>
                <m:sSub>
                  <m:e>
                    <m:r>
                      <m:t>β</m:t>
                    </m:r>
                  </m:e>
                  <m:sub>
                    <m:r>
                      <m:t>i</m:t>
                    </m:r>
                  </m:sub>
                </m:sSub>
                <m:sSub>
                  <m:e>
                    <m:r>
                      <m:t>x</m:t>
                    </m:r>
                  </m:e>
                  <m:sub>
                    <m:r>
                      <m:t>i</m:t>
                    </m:r>
                    <m:r>
                      <m:t>j</m:t>
                    </m:r>
                  </m:sub>
                </m:sSub>
                <m:r>
                  <m:t>+</m:t>
                </m:r>
                <m:sSub>
                  <m:e>
                    <m:r>
                      <m:t>a</m:t>
                    </m:r>
                  </m:e>
                  <m:sub>
                    <m:r>
                      <m:t>j</m:t>
                    </m:r>
                  </m:sub>
                </m:sSub>
                <m:r>
                  <m:t>+</m:t>
                </m:r>
                <m:sSub>
                  <m:e>
                    <m:r>
                      <m:t>ε</m:t>
                    </m:r>
                  </m:e>
                  <m:sub>
                    <m:r>
                      <m:t>i</m:t>
                    </m:r>
                    <m:r>
                      <m:t>j</m:t>
                    </m:r>
                  </m:sub>
                </m:sSub>
              </m:e>
            </m:mr>
            <m:mr>
              <m:e>
                <m:sSub>
                  <m:e>
                    <m:r>
                      <m:t>y</m:t>
                    </m:r>
                  </m:e>
                  <m:sub>
                    <m:r>
                      <m:t>i</m:t>
                    </m:r>
                    <m:r>
                      <m:t>j</m:t>
                    </m:r>
                  </m:sub>
                </m:sSub>
                <m:r>
                  <m:t>|</m:t>
                </m:r>
                <m:sSub>
                  <m:e>
                    <m:r>
                      <m:t>a</m:t>
                    </m:r>
                  </m:e>
                  <m:sub>
                    <m:r>
                      <m:t>j</m:t>
                    </m:r>
                  </m:sub>
                </m:sSub>
                <m:r>
                  <m:t>∼</m:t>
                </m:r>
                <m:r>
                  <m:t>i</m:t>
                </m:r>
                <m:r>
                  <m:t>n</m:t>
                </m:r>
                <m:r>
                  <m:t>d</m:t>
                </m:r>
                <m:r>
                  <m:t>e</m:t>
                </m:r>
                <m:r>
                  <m:t>p</m:t>
                </m:r>
                <m:r>
                  <m:t>.</m:t>
                </m:r>
                <m:r>
                  <m:t> </m:t>
                </m:r>
                <m:r>
                  <m:t>G</m:t>
                </m:r>
              </m:e>
            </m:mr>
            <m:mr>
              <m:e>
                <m:sSub>
                  <m:e>
                    <m:r>
                      <m:t>a</m:t>
                    </m:r>
                  </m:e>
                  <m:sub>
                    <m:r>
                      <m:t>j</m:t>
                    </m:r>
                  </m:sub>
                </m:sSub>
                <m:r>
                  <m:t>∼</m:t>
                </m:r>
                <m:r>
                  <m:t>i</m:t>
                </m:r>
                <m:r>
                  <m:t>.</m:t>
                </m:r>
                <m:r>
                  <m:t>i</m:t>
                </m:r>
                <m:r>
                  <m:t>.</m:t>
                </m:r>
                <m:r>
                  <m:t>d</m:t>
                </m:r>
                <m:r>
                  <m:t>.</m:t>
                </m:r>
                <m:r>
                  <m:t> </m:t>
                </m:r>
                <m:r>
                  <m:rPr>
                    <m:sty m:val="p"/>
                    <m:scr m:val="script"/>
                  </m:rPr>
                  <m:t>N</m:t>
                </m:r>
                <m:r>
                  <m:t>(</m:t>
                </m:r>
                <m:r>
                  <m:t>0</m:t>
                </m:r>
                <m:r>
                  <m:t>,</m:t>
                </m:r>
                <m:sSubSup>
                  <m:e>
                    <m:r>
                      <m:t>σ</m:t>
                    </m:r>
                  </m:e>
                  <m:sub>
                    <m:r>
                      <m:t>a</m:t>
                    </m:r>
                  </m:sub>
                  <m:sup>
                    <m:r>
                      <m:t>2</m:t>
                    </m:r>
                  </m:sup>
                </m:sSubSup>
                <m:r>
                  <m:t>)</m:t>
                </m:r>
              </m:e>
            </m:mr>
          </m:m>
        </m:oMath>
      </m:oMathPara>
    </w:p>
    <w:p>
      <w:pPr>
        <w:pStyle w:val="FirstParagraph"/>
      </w:pPr>
      <w:r>
        <w:t xml:space="preserve">where,</w:t>
      </w:r>
      <w:r>
        <w:t xml:space="preserve"> </w:t>
      </w:r>
      <m:oMath>
        <m:sSub>
          <m:e>
            <m:r>
              <m:t>y</m:t>
            </m:r>
          </m:e>
          <m:sub>
            <m:r>
              <m:t>i</m:t>
            </m:r>
            <m:r>
              <m:t>j</m:t>
            </m:r>
          </m:sub>
        </m:sSub>
      </m:oMath>
      <w:r>
        <w:t xml:space="preserve"> </w:t>
      </w:r>
      <w:r>
        <w:t xml:space="preserve">represents community descriptor under treatement</w:t>
      </w:r>
      <w:r>
        <w:t xml:space="preserve"> </w:t>
      </w:r>
      <m:oMath>
        <m:r>
          <m:t>i</m:t>
        </m:r>
        <m:r>
          <m:t>∈</m:t>
        </m:r>
        <m:r>
          <m:t>(</m:t>
        </m:r>
        <m:r>
          <m:t>1</m:t>
        </m:r>
        <m:r>
          <m:t>,</m:t>
        </m:r>
        <m:r>
          <m:t>.</m:t>
        </m:r>
        <m:r>
          <m:t>.</m:t>
        </m:r>
        <m:r>
          <m:t>.</m:t>
        </m:r>
        <m:r>
          <m:t>,</m:t>
        </m:r>
        <m:r>
          <m:t>6</m:t>
        </m:r>
        <m:r>
          <m:t>)</m:t>
        </m:r>
      </m:oMath>
      <w:r>
        <w:t xml:space="preserve">, within block</w:t>
      </w:r>
      <w:r>
        <w:t xml:space="preserve"> </w:t>
      </w:r>
      <m:oMath>
        <m:r>
          <m:t>j</m:t>
        </m:r>
        <m:r>
          <m:t>∈</m:t>
        </m:r>
        <m:r>
          <m:t>(</m:t>
        </m:r>
        <m:r>
          <m:t>1</m:t>
        </m:r>
        <m:r>
          <m:t>,</m:t>
        </m:r>
        <m:r>
          <m:t>.</m:t>
        </m:r>
        <m:r>
          <m:t>.</m:t>
        </m:r>
        <m:r>
          <m:t>.</m:t>
        </m:r>
        <m:r>
          <m:t>,</m:t>
        </m:r>
        <m:r>
          <m:t>6</m:t>
        </m:r>
        <m:r>
          <m:t>)</m:t>
        </m:r>
      </m:oMath>
      <w:r>
        <w:t xml:space="preserve">, and where</w:t>
      </w:r>
      <w:r>
        <w:t xml:space="preserve"> </w:t>
      </w:r>
      <m:oMath>
        <m:r>
          <m:t>G</m:t>
        </m:r>
      </m:oMath>
      <w:r>
        <w:t xml:space="preserve"> </w:t>
      </w:r>
      <w:r>
        <w:t xml:space="preserve">is a distribution for</w:t>
      </w:r>
      <w:r>
        <w:t xml:space="preserve"> </w:t>
      </w:r>
      <m:oMath>
        <m:sSub>
          <m:e>
            <m:r>
              <m:t>y</m:t>
            </m:r>
          </m:e>
          <m:sub>
            <m:r>
              <m:t>i</m:t>
            </m:r>
            <m:r>
              <m:t>j</m:t>
            </m:r>
          </m:sub>
        </m:sSub>
        <m:r>
          <m:t>|</m:t>
        </m:r>
        <m:sSub>
          <m:e>
            <m:r>
              <m:t>a</m:t>
            </m:r>
          </m:e>
          <m:sub>
            <m:r>
              <m:t>j</m:t>
            </m:r>
          </m:sub>
        </m:sSub>
      </m:oMath>
      <w:r>
        <w:t xml:space="preserve"> </w:t>
      </w:r>
      <w:r>
        <w:t xml:space="preserve">with variance</w:t>
      </w:r>
      <w:r>
        <w:t xml:space="preserve"> </w:t>
      </w:r>
      <m:oMath>
        <m:sSubSup>
          <m:e>
            <m:r>
              <m:t>σ</m:t>
            </m:r>
          </m:e>
          <m:sub>
            <m:r>
              <m:t>ε</m:t>
            </m:r>
          </m:sub>
          <m:sup>
            <m:r>
              <m:t>2</m:t>
            </m:r>
          </m:sup>
        </m:sSubSup>
      </m:oMath>
      <w:r>
        <w:t xml:space="preserve">.</w:t>
      </w:r>
    </w:p>
    <w:p>
      <w:pPr>
        <w:pStyle w:val="BodyText"/>
      </w:pPr>
      <w:r>
        <w:t xml:space="preserve">Biomass, species richness and diversity are important drivers of tropical plant community dynamics (Lohbeck, Poorter, Martínez-Ramos, and Bongers, 2015). In order to calculate number of samples, in this case number of blocks each containing complete set of six experimental treatments (see the main text for details), we used parameter values found in the literature, or based on our own experience working in tropical forest in Papua New Guinea. Based on the model equation for any community descriptor we need three estimates: baseline value</w:t>
      </w:r>
      <w:r>
        <w:t xml:space="preserve"> </w:t>
      </w:r>
      <m:oMath>
        <m:r>
          <m:t>μ</m:t>
        </m:r>
      </m:oMath>
      <w:r>
        <w:t xml:space="preserve">; within block (local) variation</w:t>
      </w:r>
      <w:r>
        <w:t xml:space="preserve"> </w:t>
      </w:r>
      <m:oMath>
        <m:sSubSup>
          <m:e>
            <m:r>
              <m:t>σ</m:t>
            </m:r>
          </m:e>
          <m:sub>
            <m:r>
              <m:t>ε</m:t>
            </m:r>
          </m:sub>
          <m:sup>
            <m:r>
              <m:t>2</m:t>
            </m:r>
          </m:sup>
        </m:sSubSup>
      </m:oMath>
      <w:r>
        <w:t xml:space="preserve">); between block (regional) variation</w:t>
      </w:r>
      <w:r>
        <w:t xml:space="preserve"> </w:t>
      </w:r>
      <m:oMath>
        <m:sSubSup>
          <m:e>
            <m:r>
              <m:t>σ</m:t>
            </m:r>
          </m:e>
          <m:sub>
            <m:r>
              <m:t>a</m:t>
            </m:r>
          </m:sub>
          <m:sup>
            <m:r>
              <m:t>2</m:t>
            </m:r>
          </m:sup>
        </m:sSubSup>
      </m:oMath>
      <w:r>
        <w:t xml:space="preserve">. Therefore, for the total above ground biomass (TAGB) of plants, species richness, and abundance we need to assumed values for 9 parameters.</w:t>
      </w:r>
    </w:p>
    <w:p>
      <w:pPr>
        <w:pStyle w:val="BodyText"/>
      </w:pPr>
      <w:r>
        <w:t xml:space="preserve">As mentioned in the main text we anticipated a strong increase in biomass, richness and species diversity for the insecticide treated plots and equally strong decrease in these community characteristics when high number of herbivores added to the plot. Predator exclosure should have moderate effect on the community as well as intermediate levels of herbivory addition. However, we suspect, that the effect of moderate herbivor addition should be weaker than that of the high herbivory addition but stronger than that of predators. We did not expect fungi to have strong effect on the biomass but rather on the abundance and species richness.</w:t>
      </w:r>
    </w:p>
    <w:p>
      <w:pPr>
        <w:pStyle w:val="BodyText"/>
      </w:pPr>
      <w:r>
        <w:t xml:space="preserve">For the purposes of our exploratory analyses we focused on considerably strong effects of approximately 15% change for the mean under given treatment. With a specified effect size we were able to estimate the number of blocks optimal to obtain 80% statistical power. We also explored how different levels of variation between blocks and residual variation affect power of our tests. We also explore how power would change in resonse to changing values of our assumed parameters. Power calcuations were performed using the</w:t>
      </w:r>
      <w:r>
        <w:t xml:space="preserve"> </w:t>
      </w:r>
      <w:r>
        <w:rPr>
          <w:i/>
        </w:rPr>
        <w:t xml:space="preserve">simr</w:t>
      </w:r>
      <w:r>
        <w:t xml:space="preserve"> </w:t>
      </w:r>
      <w:r>
        <w:t xml:space="preserve">package (Green and MacLeod, 2016) in R.</w:t>
      </w:r>
    </w:p>
    <w:p>
      <w:pPr>
        <w:pStyle w:val="Heading1"/>
      </w:pPr>
      <w:bookmarkStart w:id="22" w:name="biomass"/>
      <w:bookmarkEnd w:id="22"/>
      <w:r>
        <w:t xml:space="preserve">Biomass</w:t>
      </w:r>
    </w:p>
    <w:p>
      <w:pPr>
        <w:pStyle w:val="Heading2"/>
      </w:pPr>
      <w:bookmarkStart w:id="23" w:name="estimates-of-variation"/>
      <w:bookmarkEnd w:id="23"/>
      <w:r>
        <w:t xml:space="preserve">Estimates of variation</w:t>
      </w:r>
    </w:p>
    <w:p>
      <w:pPr>
        <w:pStyle w:val="FirstParagraph"/>
      </w:pPr>
      <w:r>
        <w:t xml:space="preserve">Estimates of the total plant above-ground biomass (TAGB) for one year old tropical forest successional communities are scarce in the literature and some functional respoonces fitted to available data may inaccurately predict TAGB for younger plant communities (Sierra et al 2007). From a comprehensive review by Martin, Newton, and Bullock (2013) from 607 secondary forest sites we were able to extract only two estimates of TAGB for plant community after one year of regeneration since abandonment. TAGB for these two plots averaged at</w:t>
      </w:r>
      <w:r>
        <w:t xml:space="preserve"> </w:t>
      </w:r>
      <m:oMath>
        <m:r>
          <m:t>∼</m:t>
        </m:r>
      </m:oMath>
      <w:r>
        <w:t xml:space="preserve"> </w:t>
      </w:r>
      <w:r>
        <w:t xml:space="preserve">12 Mg</w:t>
      </w:r>
      <w:r>
        <w:t xml:space="preserve"> </w:t>
      </w:r>
      <m:oMath>
        <m:r>
          <m:t>×</m:t>
        </m:r>
      </m:oMath>
      <w:r>
        <w:t xml:space="preserve"> </w:t>
      </w:r>
      <w:r>
        <w:t xml:space="preserve">ha</w:t>
      </w:r>
      <w:r>
        <w:t xml:space="preserve"> </w:t>
      </w:r>
      <m:oMath>
        <m:sSup>
          <m:e>
            <m:r>
              <m:t/>
            </m:r>
          </m:e>
          <m:sup>
            <m:r>
              <m:t>−</m:t>
            </m:r>
            <m:r>
              <m:t>1</m:t>
            </m:r>
          </m:sup>
        </m:sSup>
      </m:oMath>
      <w:r>
        <w:t xml:space="preserve"> </w:t>
      </w:r>
      <w:r>
        <w:t xml:space="preserve">(which gives 30 kg</w:t>
      </w:r>
      <w:r>
        <w:t xml:space="preserve"> </w:t>
      </w:r>
      <m:oMath>
        <m:r>
          <m:t>×</m:t>
        </m:r>
      </m:oMath>
      <w:r>
        <w:t xml:space="preserve"> </w:t>
      </w:r>
      <w:r>
        <w:t xml:space="preserve">25 m</w:t>
      </w:r>
      <m:oMath>
        <m:sSup>
          <m:e>
            <m:r>
              <m:t/>
            </m:r>
          </m:e>
          <m:sup>
            <m:r>
              <m:t>2</m:t>
            </m:r>
          </m:sup>
        </m:sSup>
      </m:oMath>
      <w:r>
        <w:t xml:space="preserve"> </w:t>
      </w:r>
      <w:r>
        <w:t xml:space="preserve">for experimental plot used in our study). However, source studies were restricted only to secondary succession after pasture abandonment, which may negatively affect initial biomass accumulation rates. Different study of gap succession following hurricane disturbance in wet tropical forest by Mascaro et al. (2005) showed that after one year after disturbance TAGB averaged at 78</w:t>
      </w:r>
      <w:r>
        <w:t xml:space="preserve"> </w:t>
      </w:r>
      <m:oMath>
        <m:r>
          <m:t>±</m:t>
        </m:r>
      </m:oMath>
      <w:r>
        <w:t xml:space="preserve"> </w:t>
      </w:r>
      <w:r>
        <w:t xml:space="preserve">15 Mg</w:t>
      </w:r>
      <w:r>
        <w:t xml:space="preserve"> </w:t>
      </w:r>
      <m:oMath>
        <m:r>
          <m:t>×</m:t>
        </m:r>
      </m:oMath>
      <w:r>
        <w:t xml:space="preserve"> </w:t>
      </w:r>
      <w:r>
        <w:t xml:space="preserve">ha</w:t>
      </w:r>
      <w:r>
        <w:t xml:space="preserve"> </w:t>
      </w:r>
      <m:oMath>
        <m:sSup>
          <m:e>
            <m:r>
              <m:t/>
            </m:r>
          </m:e>
          <m:sup>
            <m:r>
              <m:t>−</m:t>
            </m:r>
            <m:r>
              <m:t>1</m:t>
            </m:r>
          </m:sup>
        </m:sSup>
      </m:oMath>
      <w:r>
        <w:t xml:space="preserve"> </w:t>
      </w:r>
      <w:r>
        <w:t xml:space="preserve">(195 kg</w:t>
      </w:r>
      <w:r>
        <w:t xml:space="preserve"> </w:t>
      </w:r>
      <m:oMath>
        <m:r>
          <m:t>×</m:t>
        </m:r>
      </m:oMath>
      <w:r>
        <w:t xml:space="preserve"> </w:t>
      </w:r>
      <w:r>
        <w:t xml:space="preserve">25 m</w:t>
      </w:r>
      <m:oMath>
        <m:sSup>
          <m:e>
            <m:r>
              <m:t/>
            </m:r>
          </m:e>
          <m:sup>
            <m:r>
              <m:t>2</m:t>
            </m:r>
          </m:sup>
        </m:sSup>
      </m:oMath>
      <w:r>
        <w:t xml:space="preserve">). In tropical forest regeneration following small slash-and-burn cultivation we expected TAGB in primary forest matrix to result in higher values than during spontaneous succession in pastures. At the same time we believe it should be lower than in naturally created gaps. Moreover, by design we tried to minimise unpredicted differences in initial conditions for regeneration, which should keep the variation between and within blocks small. Therefore for the theoretical distribution of plant biomass in a 25 m</w:t>
      </w:r>
      <m:oMath>
        <m:sSup>
          <m:e>
            <m:r>
              <m:t/>
            </m:r>
          </m:e>
          <m:sup>
            <m:r>
              <m:t>2</m:t>
            </m:r>
          </m:sup>
        </m:sSup>
      </m:oMath>
      <w:r>
        <w:t xml:space="preserve"> </w:t>
      </w:r>
      <w:r>
        <w:t xml:space="preserve">plots we safely assumed log-normal distribution with</w:t>
      </w:r>
      <w:r>
        <w:t xml:space="preserve"> </w:t>
      </w:r>
      <m:oMath>
        <m:r>
          <m:t>μ</m:t>
        </m:r>
      </m:oMath>
      <w:r>
        <w:t xml:space="preserve"> </w:t>
      </w:r>
      <w:r>
        <w:t xml:space="preserve">= 100 kg and</w:t>
      </w:r>
      <w:r>
        <w:t xml:space="preserve"> </w:t>
      </w:r>
      <m:oMath>
        <m:sSub>
          <m:e>
            <m:r>
              <m:t>σ</m:t>
            </m:r>
          </m:e>
          <m:sub>
            <m:r>
              <m:t>a</m:t>
            </m:r>
          </m:sub>
        </m:sSub>
      </m:oMath>
      <w:r>
        <w:t xml:space="preserve"> </w:t>
      </w:r>
      <w:r>
        <w:t xml:space="preserve">=</w:t>
      </w:r>
      <w:r>
        <w:t xml:space="preserve"> </w:t>
      </w:r>
      <m:oMath>
        <m:sSub>
          <m:e>
            <m:r>
              <m:t>σ</m:t>
            </m:r>
          </m:e>
          <m:sub>
            <m:r>
              <m:t>ε</m:t>
            </m:r>
          </m:sub>
        </m:sSub>
      </m:oMath>
      <w:r>
        <w:t xml:space="preserve"> </w:t>
      </w:r>
      <w:r>
        <w:t xml:space="preserve">= 10 kg (Fig.1).</w:t>
      </w:r>
    </w:p>
    <w:p>
      <w:pPr>
        <w:pStyle w:val="BodyText"/>
      </w:pPr>
      <w:r>
        <w:drawing>
          <wp:inline>
            <wp:extent cx="3696101" cy="3696101"/>
            <wp:effectExtent b="0" l="0" r="0" t="0"/>
            <wp:docPr descr="" title="" id="1" name="Picture"/>
            <a:graphic>
              <a:graphicData uri="http://schemas.openxmlformats.org/drawingml/2006/picture">
                <pic:pic>
                  <pic:nvPicPr>
                    <pic:cNvPr descr="garden_statistical_power_files/figure-docx/setup-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Figure 1. Histogram of the expected total above-ground biomass values for a one year old successional plant community at a 25 m</w:t>
      </w:r>
      <m:oMath>
        <m:sSup>
          <m:e>
            <m:r>
              <m:t/>
            </m:r>
          </m:e>
          <m:sup>
            <m:r>
              <m:t>2</m:t>
            </m:r>
          </m:sup>
        </m:sSup>
      </m:oMath>
      <w:r>
        <w:t xml:space="preserve"> </w:t>
      </w:r>
      <w:r>
        <w:t xml:space="preserve">experimental plot (in kilograms). Values generated from a log-normal distribution with</w:t>
      </w:r>
      <w:r>
        <w:t xml:space="preserve"> </w:t>
      </w:r>
      <m:oMath>
        <m:r>
          <m:t>μ</m:t>
        </m:r>
      </m:oMath>
      <w:r>
        <w:t xml:space="preserve"> </w:t>
      </w:r>
      <w:r>
        <w:t xml:space="preserve">= 100 kg, and</w:t>
      </w:r>
      <w:r>
        <w:t xml:space="preserve"> </w:t>
      </w:r>
      <m:oMath>
        <m:sSub>
          <m:e>
            <m:r>
              <m:t>σ</m:t>
            </m:r>
          </m:e>
          <m:sub>
            <m:r>
              <m:t>ε</m:t>
            </m:r>
          </m:sub>
        </m:sSub>
      </m:oMath>
      <w:r>
        <w:t xml:space="preserve"> </w:t>
      </w:r>
      <w:r>
        <w:t xml:space="preserve">= 10 kg.</w:t>
      </w:r>
    </w:p>
    <w:p>
      <w:pPr>
        <w:pStyle w:val="Heading2"/>
      </w:pPr>
      <w:bookmarkStart w:id="25" w:name="randomization"/>
      <w:bookmarkEnd w:id="25"/>
      <w:r>
        <w:t xml:space="preserve">Randomization</w:t>
      </w:r>
    </w:p>
    <w:p>
      <w:pPr>
        <w:pStyle w:val="FirstParagraph"/>
      </w:pPr>
      <w:r>
        <w:t xml:space="preserve">With the estimates for</w:t>
      </w:r>
      <w:r>
        <w:t xml:space="preserve"> </w:t>
      </w:r>
      <m:oMath>
        <m:r>
          <m:t>μ</m:t>
        </m:r>
      </m:oMath>
      <w:r>
        <w:t xml:space="preserve">,</w:t>
      </w:r>
      <w:r>
        <w:t xml:space="preserve"> </w:t>
      </w:r>
      <m:oMath>
        <m:sSubSup>
          <m:e>
            <m:r>
              <m:t>σ</m:t>
            </m:r>
          </m:e>
          <m:sub>
            <m:r>
              <m:t>a</m:t>
            </m:r>
          </m:sub>
          <m:sup>
            <m:r>
              <m:t>2</m:t>
            </m:r>
          </m:sup>
        </m:sSubSup>
      </m:oMath>
      <w:r>
        <w:t xml:space="preserve">,</w:t>
      </w:r>
      <w:r>
        <w:t xml:space="preserve"> </w:t>
      </w:r>
      <m:oMath>
        <m:sSubSup>
          <m:e>
            <m:r>
              <m:t>σ</m:t>
            </m:r>
          </m:e>
          <m:sub>
            <m:r>
              <m:t>ε</m:t>
            </m:r>
          </m:sub>
          <m:sup>
            <m:r>
              <m:t>2</m:t>
            </m:r>
          </m:sup>
        </m:sSubSup>
      </m:oMath>
      <w:r>
        <w:t xml:space="preserve"> </w:t>
      </w:r>
      <w:r>
        <w:t xml:space="preserve">and selected effect size we can now create a hypothetical dataset with an arbitrary number of blocks each having 6 experimental treatment (including control) and examine sample size necessary to obtain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den_statistical_power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3. A) An example dataset generated using log-normal mean 100, between-block standard deviation</w:t>
      </w:r>
      <w:r>
        <w:t xml:space="preserve"> </w:t>
      </w:r>
      <m:oMath>
        <m:rad>
          <m:radPr>
            <m:degHide m:val="1"/>
          </m:radPr>
          <m:deg/>
          <m:e>
            <m:sSub>
              <m:e>
                <m:r>
                  <m:t>σ</m:t>
                </m:r>
              </m:e>
              <m:sub>
                <m:r>
                  <m:t>b</m:t>
                </m:r>
                <m:r>
                  <m:t>l</m:t>
                </m:r>
                <m:r>
                  <m:t>o</m:t>
                </m:r>
                <m:r>
                  <m:t>c</m:t>
                </m:r>
                <m:r>
                  <m:t>k</m:t>
                </m:r>
              </m:sub>
            </m:sSub>
          </m:e>
        </m:rad>
        <m:r>
          <m:t>=</m:t>
        </m:r>
      </m:oMath>
      <w:r>
        <w:t xml:space="preserve"> </w:t>
      </w:r>
      <w:r>
        <w:t xml:space="preserve">10.02and within-block standard deviation</w:t>
      </w:r>
      <w:r>
        <w:t xml:space="preserve"> </w:t>
      </w:r>
      <m:oMath>
        <m:rad>
          <m:radPr>
            <m:degHide m:val="1"/>
          </m:radPr>
          <m:deg/>
          <m:e>
            <m:sSub>
              <m:e>
                <m:r>
                  <m:t>σ</m:t>
                </m:r>
              </m:e>
              <m:sub>
                <m:r>
                  <m:t>e</m:t>
                </m:r>
                <m:r>
                  <m:t>r</m:t>
                </m:r>
                <m:r>
                  <m:t>r</m:t>
                </m:r>
                <m:r>
                  <m:t>o</m:t>
                </m:r>
                <m:r>
                  <m:t>r</m:t>
                </m:r>
              </m:sub>
            </m:sSub>
          </m:e>
        </m:rad>
        <m:r>
          <m:t>=</m:t>
        </m:r>
      </m:oMath>
      <w:r>
        <w:t xml:space="preserve"> </w:t>
      </w:r>
      <w:r>
        <w:t xml:space="preserve">10.02. Effect size of 10 kg. Simulated datasets with six treatments grouped in 20 blocks and a hypothetical effect size of - 10 for high herbivory (h2), 5 for predator removal and 10 for insecticide treatment. B) Power curve with confidence intervals for the power estimates based on 99 randomizations.</w:t>
      </w:r>
    </w:p>
    <w:p>
      <w:pPr>
        <w:pStyle w:val="BodyText"/>
      </w:pPr>
      <w:r>
        <w:t xml:space="preserve">From this analysis we conclude that for the above assumptions we have 80% probability of detecting existing effects already with six experimental blocks.</w:t>
      </w:r>
    </w:p>
    <w:p>
      <w:pPr>
        <w:pStyle w:val="Heading1"/>
      </w:pPr>
      <w:bookmarkStart w:id="28" w:name="species-richness-and-woody-plant-abundance"/>
      <w:bookmarkEnd w:id="28"/>
      <w:r>
        <w:t xml:space="preserve">Species richness and woody plant abundance</w:t>
      </w:r>
    </w:p>
    <w:p>
      <w:pPr>
        <w:pStyle w:val="Heading2"/>
      </w:pPr>
      <w:bookmarkStart w:id="29" w:name="estimates-of-variation-1"/>
      <w:bookmarkEnd w:id="29"/>
      <w:r>
        <w:t xml:space="preserve">Estimates of variation</w:t>
      </w:r>
    </w:p>
    <w:p>
      <w:pPr>
        <w:pStyle w:val="FirstParagraph"/>
      </w:pPr>
      <w:r>
        <w:t xml:space="preserve">We expected to find approximately 30</w:t>
      </w:r>
      <w:r>
        <w:t xml:space="preserve"> </w:t>
      </w:r>
      <m:oMath>
        <m:r>
          <m:t>±</m:t>
        </m:r>
      </m:oMath>
      <w:r>
        <w:t xml:space="preserve"> </w:t>
      </w:r>
      <w:r>
        <w:t xml:space="preserve">5 plant species (herbaceous and woody plants) per plot (Leps, personal communication). It is difficult to estimates for the abundance of stems having DBH greater of equal to 1cm (Ohtsuka Biomass changes in early tropical succession..). Based on Whitfeld et al. (2012) and from our experience we expected to have (similarily to the number of species) approximately 30</w:t>
      </w:r>
      <w:r>
        <w:t xml:space="preserve"> </w:t>
      </w:r>
      <m:oMath>
        <m:r>
          <m:t>±</m:t>
        </m:r>
      </m:oMath>
      <w:r>
        <w:t xml:space="preserve"> </w:t>
      </w:r>
      <w:r>
        <w:t xml:space="preserve">5 stems per 25m</w:t>
      </w:r>
      <m:oMath>
        <m:sSup>
          <m:e>
            <m:r>
              <m:t/>
            </m:r>
          </m:e>
          <m:sup>
            <m:r>
              <m:t>2</m:t>
            </m:r>
          </m:sup>
        </m:sSup>
      </m:oMath>
      <w:r>
        <w:t xml:space="preserve"> </w:t>
      </w:r>
      <w:r>
        <w:t xml:space="preserve">experimental plot. We assumed Poisson distribution for the number of species and number of stems.</w:t>
      </w:r>
    </w:p>
    <w:p>
      <w:pPr>
        <w:pStyle w:val="Heading2"/>
      </w:pPr>
      <w:bookmarkStart w:id="30" w:name="randomization-1"/>
      <w:bookmarkEnd w:id="30"/>
      <w:r>
        <w:t xml:space="preserve">Randomization</w:t>
      </w:r>
    </w:p>
    <w:p>
      <w:pPr>
        <w:pStyle w:val="FirstParagraph"/>
      </w:pPr>
      <w:r>
        <w:t xml:space="preserve">As above we created random dataset for for number of species and abundance of stems</w:t>
      </w:r>
      <w:r>
        <w:t xml:space="preserve"> </w:t>
      </w:r>
      <m:oMath>
        <m:r>
          <m:t>≤</m:t>
        </m:r>
      </m:oMath>
      <w:r>
        <w:t xml:space="preserve"> </w:t>
      </w:r>
      <w:r>
        <w:t xml:space="preserve">1 cm DBH, and explore number of blocks necessary to detect 5 species/5 stems shift in average values at the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den_statistical_power_files/figure-docx/unnamed-chunk-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X. …</w:t>
      </w:r>
    </w:p>
    <w:p>
      <w:pPr>
        <w:pStyle w:val="Heading1"/>
      </w:pPr>
      <w:bookmarkStart w:id="33" w:name="sample-size-within-block-and-between-block-variation"/>
      <w:bookmarkEnd w:id="33"/>
      <w:r>
        <w:t xml:space="preserve">Sample size, within-block and between-block variation</w:t>
      </w:r>
    </w:p>
    <w:p>
      <w:pPr>
        <w:pStyle w:val="FirstParagraph"/>
      </w:pPr>
      <w:r>
        <w:t xml:space="preserve">At the last step we analyze sensitivity of the expected power to the variance of our variance estimates. Show that for the estimate of within blocks variation any value below 15 kg ensures acceptable power of out tests.</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literature"/>
      <w:bookmarkEnd w:id="35"/>
      <w:r>
        <w:t xml:space="preserve">Literature</w:t>
      </w:r>
    </w:p>
    <w:p>
      <w:pPr>
        <w:pStyle w:val="FirstParagraph"/>
      </w:pPr>
      <w:r>
        <w:t xml:space="preserve">Green P, MacLeod CJ (2016).</w:t>
      </w:r>
      <w:r>
        <w:t xml:space="preserve"> </w:t>
      </w:r>
      <w:r>
        <w:t xml:space="preserve">“</w:t>
      </w:r>
      <w:r>
        <w:t xml:space="preserve">simr: an R package for power analysis</w:t>
      </w:r>
      <w:r>
        <w:t xml:space="preserve"> </w:t>
      </w:r>
      <w:r>
        <w:t xml:space="preserve">of generalised linear mixed models by simulation.</w:t>
      </w:r>
      <w:r>
        <w:t xml:space="preserve">”</w:t>
      </w:r>
      <w:r>
        <w:t xml:space="preserve"> </w:t>
      </w:r>
      <w:r>
        <w:rPr>
          <w:i/>
        </w:rPr>
        <w:t xml:space="preserve">Methods in</w:t>
      </w:r>
      <w:r>
        <w:rPr>
          <w:i/>
        </w:rPr>
        <w:t xml:space="preserve"> </w:t>
      </w:r>
      <w:r>
        <w:rPr>
          <w:i/>
        </w:rPr>
        <w:t xml:space="preserve">Ecology and Evolution</w:t>
      </w:r>
      <w:r>
        <w:t xml:space="preserve">,</w:t>
      </w:r>
      <w:r>
        <w:t xml:space="preserve"> </w:t>
      </w:r>
      <w:r>
        <w:rPr>
          <w:i/>
        </w:rPr>
        <w:t xml:space="preserve">7</w:t>
      </w:r>
      <w:r>
        <w:t xml:space="preserve">(4), 493-498. doi:</w:t>
      </w:r>
      <w:r>
        <w:t xml:space="preserve"> </w:t>
      </w:r>
      <w:r>
        <w:t xml:space="preserve">10.1111/2041-210X.12504</w:t>
      </w:r>
    </w:p>
    <w:p>
      <w:pPr>
        <w:pStyle w:val="BodyText"/>
      </w:pPr>
      <w:r>
        <w:t xml:space="preserve">Lohbeck, M., Poorter, L., Martínez-Ramos, M., &amp; Bongers, F. (2015). Biomass is the main driver of changes in ecosystem process rates during tropical forest succession. Ecology, 96(5), 1242–1252. doi: 10.1890/14-0472.1</w:t>
      </w:r>
    </w:p>
    <w:p>
      <w:pPr>
        <w:pStyle w:val="BodyText"/>
      </w:pPr>
      <w:r>
        <w:t xml:space="preserve">Martin, P. A., Newton, A. C., &amp; Bullock, J. M. (2013). Carbon pools recover more quickly than plant biodiversity in tropical secondary forests. Proceedings of the Royal Society B: Biological Sciences. Retrieved from</w:t>
      </w:r>
      <w:r>
        <w:t xml:space="preserve"> </w:t>
      </w:r>
      <w:hyperlink r:id="rId36">
        <w:r>
          <w:rPr>
            <w:rStyle w:val="Hyperlink"/>
          </w:rPr>
          <w:t xml:space="preserve">https://royalsocietypublishing.org/doi/abs/10.1098/rspb.2013.2236</w:t>
        </w:r>
      </w:hyperlink>
    </w:p>
    <w:p>
      <w:pPr>
        <w:pStyle w:val="BodyText"/>
      </w:pPr>
      <w:r>
        <w:t xml:space="preserve">Mascaro, J., Perfecto, I., Barros, O., Boucher, D. H., Cerda, I. G. D. L., Ruiz, J., &amp; Vandermeer, J. (2005). Aboveground Biomass Accumulation in a Tropical Wet Forest in Nicaragua Following a Catastrophic Hurricane Disturbance. Biotropica, 37(4), 600–608. doi: 10.1111/j.1744-7429.2005.00077.x</w:t>
      </w:r>
    </w:p>
    <w:p>
      <w:pPr>
        <w:pStyle w:val="BodyText"/>
      </w:pPr>
      <w:r>
        <w:t xml:space="preserve">Whitfeld et al.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d23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6" Target="https://royalsocietypublishing.org/doi/abs/10.1098/rspb.2013.2236" TargetMode="External" /></Relationships>
</file>

<file path=word/_rels/footnotes.xml.rels><?xml version="1.0" encoding="UTF-8"?>
<Relationships xmlns="http://schemas.openxmlformats.org/package/2006/relationships"><Relationship Type="http://schemas.openxmlformats.org/officeDocument/2006/relationships/hyperlink" Id="rId36" Target="https://royalsocietypublishing.org/doi/abs/10.1098/rspb.2013.2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Experiment Power Analysis</dc:title>
  <dc:creator/>
  <dcterms:created xsi:type="dcterms:W3CDTF">2019-07-01T13:11:22Z</dcterms:created>
  <dcterms:modified xsi:type="dcterms:W3CDTF">2019-07-01T13:11:22Z</dcterms:modified>
</cp:coreProperties>
</file>