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6"/>
          <w:szCs w:val="36"/>
        </w:rPr>
      </w:pPr>
      <w:r>
        <w:rPr>
          <w:sz w:val="36"/>
          <w:szCs w:val="36"/>
        </w:rPr>
        <w:t>Supporting Information</w:t>
      </w:r>
    </w:p>
    <w:p>
      <w:pPr>
        <w:pStyle w:val="Heading2"/>
        <w:rPr/>
      </w:pPr>
      <w:r>
        <w:rPr>
          <w:i/>
          <w:iCs/>
        </w:rPr>
        <w:t>Polyphagy of the Oribius sp. Beetle</w:t>
      </w:r>
    </w:p>
    <w:p>
      <w:pPr>
        <w:pStyle w:val="Heading2"/>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6332220"/>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6332220" cy="6332220"/>
                    </a:xfrm>
                    <a:prstGeom prst="rect">
                      <a:avLst/>
                    </a:prstGeom>
                  </pic:spPr>
                </pic:pic>
              </a:graphicData>
            </a:graphic>
          </wp:anchor>
        </w:drawing>
      </w:r>
      <w:r>
        <w:rPr>
          <w:rFonts w:ascii="Times New Roman" w:hAnsi="Times New Roman"/>
          <w:i w:val="false"/>
          <w:iCs w:val="false"/>
          <w:sz w:val="24"/>
          <w:szCs w:val="24"/>
          <w:lang w:val="en-GB"/>
        </w:rPr>
        <w:t xml:space="preserve">Fig. S1. Feeding preferences of </w:t>
      </w:r>
      <w:r>
        <w:rPr>
          <w:rFonts w:ascii="Times New Roman" w:hAnsi="Times New Roman"/>
          <w:i/>
          <w:iCs/>
          <w:sz w:val="24"/>
          <w:szCs w:val="24"/>
          <w:lang w:val="en-GB"/>
        </w:rPr>
        <w:t>Oribius</w:t>
      </w:r>
      <w:r>
        <w:rPr>
          <w:rFonts w:ascii="Times New Roman" w:hAnsi="Times New Roman"/>
          <w:i w:val="false"/>
          <w:iCs w:val="false"/>
          <w:sz w:val="24"/>
          <w:szCs w:val="24"/>
          <w:lang w:val="en-GB"/>
        </w:rPr>
        <w:t xml:space="preserve"> sp. veevil. </w:t>
      </w:r>
      <w:r>
        <w:rPr>
          <w:rFonts w:ascii="Times New Roman" w:hAnsi="Times New Roman"/>
          <w:i w:val="false"/>
          <w:iCs w:val="false"/>
          <w:sz w:val="24"/>
          <w:szCs w:val="24"/>
          <w:lang w:val="en-GB"/>
        </w:rPr>
        <w:t>Values on the y axis represent t</w:t>
      </w:r>
      <w:r>
        <w:rPr>
          <w:rFonts w:ascii="Times New Roman" w:hAnsi="Times New Roman"/>
          <w:i w:val="false"/>
          <w:iCs w:val="false"/>
          <w:sz w:val="24"/>
          <w:szCs w:val="24"/>
          <w:lang w:val="en-GB"/>
        </w:rPr>
        <w:t xml:space="preserve">he percentage of </w:t>
      </w:r>
      <w:r>
        <w:rPr>
          <w:rFonts w:ascii="Times New Roman" w:hAnsi="Times New Roman"/>
          <w:i w:val="false"/>
          <w:iCs w:val="false"/>
          <w:sz w:val="24"/>
          <w:szCs w:val="24"/>
          <w:lang w:val="en-GB"/>
        </w:rPr>
        <w:t xml:space="preserve">20 </w:t>
      </w:r>
      <w:r>
        <w:rPr>
          <w:rFonts w:ascii="Times New Roman" w:hAnsi="Times New Roman"/>
          <w:i w:val="false"/>
          <w:iCs w:val="false"/>
          <w:sz w:val="24"/>
          <w:szCs w:val="24"/>
          <w:lang w:val="en-GB"/>
        </w:rPr>
        <w:t xml:space="preserve">no-choice feeding trials using an excised leaf and a single specimen of </w:t>
      </w:r>
      <w:r>
        <w:rPr>
          <w:rFonts w:ascii="Times New Roman" w:hAnsi="Times New Roman"/>
          <w:i/>
          <w:iCs/>
          <w:sz w:val="24"/>
          <w:szCs w:val="24"/>
          <w:lang w:val="en-GB"/>
        </w:rPr>
        <w:t>Oribius</w:t>
      </w:r>
      <w:r>
        <w:rPr>
          <w:rFonts w:ascii="Times New Roman" w:hAnsi="Times New Roman"/>
          <w:i w:val="false"/>
          <w:iCs w:val="false"/>
          <w:sz w:val="24"/>
          <w:szCs w:val="24"/>
          <w:lang w:val="en-GB"/>
        </w:rPr>
        <w:t xml:space="preserve"> </w:t>
      </w:r>
      <w:r>
        <w:rPr>
          <w:rFonts w:ascii="Times New Roman" w:hAnsi="Times New Roman"/>
          <w:i w:val="false"/>
          <w:iCs w:val="false"/>
          <w:sz w:val="24"/>
          <w:szCs w:val="24"/>
          <w:lang w:val="en-GB"/>
        </w:rPr>
        <w:t>sp.</w:t>
      </w:r>
      <w:r>
        <w:rPr>
          <w:rFonts w:ascii="Times New Roman" w:hAnsi="Times New Roman"/>
          <w:i w:val="false"/>
          <w:iCs w:val="false"/>
          <w:sz w:val="24"/>
          <w:szCs w:val="24"/>
          <w:lang w:val="en-GB"/>
        </w:rPr>
        <w:t xml:space="preserve"> beetle (placed in a container, after the beetle had been starved 24 hours) during which large feeding damage (defined as leaf holes bigger than body size projection of the beetle) occurred in 24 hours.</w:t>
      </w:r>
    </w:p>
    <w:p>
      <w:pPr>
        <w:pStyle w:val="Heading2"/>
        <w:rPr>
          <w:rFonts w:ascii="Times New Roman" w:hAnsi="Times New Roman"/>
          <w:highlight w:val="yellow"/>
          <w:lang w:val="en-GB"/>
        </w:rPr>
      </w:pPr>
      <w:r>
        <w:rPr/>
      </w:r>
    </w:p>
    <w:p>
      <w:pPr>
        <w:pStyle w:val="Heading2"/>
        <w:spacing w:lineRule="auto" w:line="240" w:before="0" w:after="0"/>
        <w:rPr/>
      </w:pPr>
      <w:r>
        <w:rPr>
          <w:i/>
          <w:iCs/>
        </w:rPr>
        <w:t>Within- and between- treatment beta-diversity</w:t>
      </w:r>
    </w:p>
    <w:p>
      <w:pPr>
        <w:pStyle w:val="TextBody"/>
        <w:spacing w:lineRule="auto" w:line="240" w:before="0" w:after="0"/>
        <w:rPr>
          <w:rFonts w:ascii="Times New Roman" w:hAnsi="Times New Roman"/>
          <w:i/>
          <w:i/>
          <w:iCs/>
          <w:lang w:val="en-GB"/>
        </w:rPr>
      </w:pPr>
      <w:r>
        <w:rPr/>
      </w:r>
    </w:p>
    <w:p>
      <w:pPr>
        <w:pStyle w:val="TextBody"/>
        <w:spacing w:lineRule="auto" w:line="240" w:before="0" w:after="0"/>
        <w:rPr/>
      </w:pPr>
      <w:r>
        <w:rPr>
          <w:rFonts w:ascii="Times New Roman" w:hAnsi="Times New Roman"/>
          <w:lang w:val="en-GB"/>
        </w:rPr>
        <w:t>We calculated multiple-site abundance-based Bray-Curtis dissimilarity (Baselga, 2017) and partitioned total beta-diversity into the component derived from species turnover (balance) and the component based on species gain and loss derived from nestedness (gradient). We used biomass as a measure of abundance.</w:t>
      </w:r>
    </w:p>
    <w:p>
      <w:pPr>
        <w:pStyle w:val="TextBody"/>
        <w:spacing w:lineRule="auto" w:line="240" w:before="0" w:after="0"/>
        <w:rPr/>
      </w:pPr>
      <w:r>
        <w:rPr>
          <w:rFonts w:ascii="Times New Roman" w:hAnsi="Times New Roman"/>
          <w:lang w:val="en-GB"/>
        </w:rPr>
        <w:t>All values of within-treatment dissimilarity are high,  &gt;0.75, and the component related to species turnover between sites dominates in all cases. The low nestedness component suggests that communities mainly change through species turnover rather than species loss from high- to low-diversity communities. This situation is different only in the insecticide treatment, where the communities are more similar and nested than in other treatments.</w:t>
      </w:r>
    </w:p>
    <w:p>
      <w:pPr>
        <w:pStyle w:val="TextBody"/>
        <w:spacing w:lineRule="auto" w:line="240" w:before="0" w:after="0"/>
        <w:rPr>
          <w:rFonts w:ascii="Times New Roman" w:hAnsi="Times New Roman"/>
          <w:lang w:val="en-GB"/>
        </w:rPr>
      </w:pPr>
      <w:r>
        <w:rPr/>
      </w:r>
    </w:p>
    <w:p>
      <w:pPr>
        <w:pStyle w:val="TextBody"/>
        <w:spacing w:lineRule="auto" w:line="24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10000" cy="381000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810000" cy="3810000"/>
                    </a:xfrm>
                    <a:prstGeom prst="rect">
                      <a:avLst/>
                    </a:prstGeom>
                  </pic:spPr>
                </pic:pic>
              </a:graphicData>
            </a:graphic>
          </wp:anchor>
        </w:drawing>
      </w:r>
      <w:r>
        <w:rPr>
          <w:rFonts w:ascii="Times New Roman" w:hAnsi="Times New Roman"/>
          <w:lang w:val="en-GB"/>
        </w:rPr>
        <w:t>F</w:t>
      </w:r>
      <w:r>
        <w:rPr>
          <w:rFonts w:ascii="Times New Roman" w:hAnsi="Times New Roman"/>
          <w:lang w:val="en-GB"/>
        </w:rPr>
        <w:t>ig S2. Total within-treatment beta-diversity values partitioned into turnover (Balanced) and nestedness (Gradient) variation components.</w:t>
      </w:r>
    </w:p>
    <w:p>
      <w:pPr>
        <w:pStyle w:val="TextBody"/>
        <w:spacing w:lineRule="auto" w:line="240"/>
        <w:rPr>
          <w:rFonts w:ascii="Times New Roman" w:hAnsi="Times New Roman"/>
          <w:lang w:val="en-GB"/>
        </w:rPr>
      </w:pPr>
      <w:r>
        <w:rPr>
          <w:rFonts w:ascii="Times New Roman" w:hAnsi="Times New Roman"/>
          <w:lang w:val="en-GB"/>
        </w:rPr>
      </w:r>
      <w:r>
        <w:br w:type="page"/>
      </w:r>
    </w:p>
    <w:p>
      <w:pPr>
        <w:pStyle w:val="Heading2"/>
        <w:rPr/>
      </w:pPr>
      <w:r>
        <w:rPr>
          <w:i/>
          <w:iCs/>
        </w:rPr>
        <w:t>Analysis of the most prevalent species</w:t>
      </w:r>
    </w:p>
    <w:p>
      <w:pPr>
        <w:pStyle w:val="Heading2"/>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09590" cy="560959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09590" cy="5609590"/>
                    </a:xfrm>
                    <a:prstGeom prst="rect">
                      <a:avLst/>
                    </a:prstGeom>
                  </pic:spPr>
                </pic:pic>
              </a:graphicData>
            </a:graphic>
          </wp:anchor>
        </w:drawing>
      </w:r>
    </w:p>
    <w:p>
      <w:pPr>
        <w:pStyle w:val="TextBody"/>
        <w:spacing w:lineRule="auto" w:line="240"/>
        <w:rPr/>
      </w:pPr>
      <w:r>
        <w:rPr/>
        <w:t xml:space="preserve">Fig S3. Relative abundance of </w:t>
      </w:r>
      <w:r>
        <w:rPr/>
        <w:t xml:space="preserve">the </w:t>
      </w:r>
      <w:r>
        <w:rPr/>
        <w:t xml:space="preserve">most prevalent species across experimental communities in pairwise comparisons between control and </w:t>
      </w:r>
      <w:r>
        <w:rPr/>
        <w:t xml:space="preserve">other </w:t>
      </w:r>
      <w:r>
        <w:rPr/>
        <w:t>treatment</w:t>
      </w:r>
      <w:r>
        <w:rPr/>
        <w:t>s</w:t>
      </w:r>
      <w:r>
        <w:rPr/>
        <w:t xml:space="preserve">. Maximum likelihood estimates for the mean and 95% CI are plotted </w:t>
      </w:r>
      <w:r>
        <w:rPr/>
        <w:t>over individual data points</w:t>
      </w:r>
      <w:r>
        <w:rPr/>
        <w:t xml:space="preserve">. Significance of differences were determined using linear model with beta error distribution. </w:t>
      </w:r>
      <w:r>
        <w:rPr/>
        <w:t>Colors represent significance at alpha=</w:t>
      </w:r>
      <w:r>
        <w:rPr/>
        <w:t xml:space="preserve">0.05 </w:t>
      </w:r>
      <w:r>
        <w:rPr/>
        <w:t>(red) and alpha=0.1 (</w:t>
      </w:r>
      <w:r>
        <w:rPr/>
        <w:t>orange</w:t>
      </w:r>
      <w:r>
        <w:rPr/>
        <w:t>)</w:t>
      </w:r>
      <w:r>
        <w:rPr/>
        <w:t>.</w:t>
      </w:r>
      <w:r>
        <w:br w:type="page"/>
      </w:r>
    </w:p>
    <w:p>
      <w:pPr>
        <w:pStyle w:val="TextBody"/>
        <w:spacing w:lineRule="auto" w:line="240" w:before="0" w:after="14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3742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332220" cy="2374265"/>
                    </a:xfrm>
                    <a:prstGeom prst="rect">
                      <a:avLst/>
                    </a:prstGeom>
                  </pic:spPr>
                </pic:pic>
              </a:graphicData>
            </a:graphic>
          </wp:anchor>
        </w:drawing>
      </w:r>
      <w:r>
        <w:rPr/>
        <w:t>F</w:t>
      </w:r>
      <w:r>
        <w:rPr/>
        <w:t xml:space="preserve">ig. S4. Average trait values </w:t>
      </w:r>
      <w:r>
        <w:rPr/>
        <w:t>i</w:t>
      </w:r>
      <w:r>
        <w:rPr/>
        <w:t xml:space="preserve">n the control plots evaluated for the </w:t>
      </w:r>
      <w:bookmarkStart w:id="0" w:name="_GoBack"/>
      <w:bookmarkEnd w:id="0"/>
      <w:r>
        <w:rPr/>
        <w:t xml:space="preserve">five most prevalent species. </w:t>
      </w:r>
      <w:r>
        <w:rPr/>
        <w:t>Significance was calculated with ANOVA and Tukey post-hoc test.</w:t>
      </w:r>
    </w:p>
    <w:p>
      <w:pPr>
        <w:pStyle w:val="Heading2"/>
        <w:spacing w:lineRule="auto" w:line="240"/>
        <w:rPr/>
      </w:pPr>
      <w:r>
        <w:rPr/>
        <w:t>References</w:t>
      </w:r>
    </w:p>
    <w:p>
      <w:pPr>
        <w:pStyle w:val="Normal"/>
        <w:spacing w:lineRule="auto" w:line="240" w:before="0" w:after="0"/>
        <w:ind w:right="0" w:hanging="0"/>
        <w:rPr/>
      </w:pPr>
      <w:r>
        <w:rPr/>
        <w:t xml:space="preserve">Baselga, A. (2017). Partitioning abundance-based multiple-site dissimilarity into components: balanced variation in abundance and abundance gradients. </w:t>
      </w:r>
      <w:r>
        <w:rPr>
          <w:i/>
        </w:rPr>
        <w:t>Methods in Ecology and Evolution</w:t>
      </w:r>
      <w:r>
        <w:rPr/>
        <w:t xml:space="preserve">, </w:t>
      </w:r>
      <w:r>
        <w:rPr>
          <w:i/>
        </w:rPr>
        <w:t>8</w:t>
      </w:r>
      <w:r>
        <w:rPr/>
        <w:t>(7), 799–808. doi:10.1111/2041-210X.12693</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WenQuanYi Zen Hei Sharp" w:cs="Lohit Devanagari"/>
      <w:color w:val="00000A"/>
      <w:kern w:val="0"/>
      <w:sz w:val="24"/>
      <w:szCs w:val="24"/>
      <w:lang w:val="en-US" w:eastAsia="zh-CN" w:bidi="hi-IN"/>
    </w:rPr>
  </w:style>
  <w:style w:type="paragraph" w:styleId="Heading1">
    <w:name w:val="Heading 1"/>
    <w:basedOn w:val="Heading"/>
    <w:uiPriority w:val="9"/>
    <w:qFormat/>
    <w:pPr>
      <w:outlineLvl w:val="0"/>
    </w:pPr>
    <w:rPr/>
  </w:style>
  <w:style w:type="paragraph" w:styleId="Heading2">
    <w:name w:val="Heading 2"/>
    <w:basedOn w:val="Heading"/>
    <w:uiPriority w:val="9"/>
    <w:unhideWhenUsed/>
    <w:qFormat/>
    <w:pPr>
      <w:outlineLvl w:val="1"/>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9c329d"/>
    <w:rPr>
      <w:sz w:val="16"/>
      <w:szCs w:val="16"/>
    </w:rPr>
  </w:style>
  <w:style w:type="character" w:styleId="CommentTextChar" w:customStyle="1">
    <w:name w:val="Comment Text Char"/>
    <w:basedOn w:val="DefaultParagraphFont"/>
    <w:link w:val="CommentText"/>
    <w:uiPriority w:val="99"/>
    <w:semiHidden/>
    <w:qFormat/>
    <w:rsid w:val="009c329d"/>
    <w:rPr>
      <w:rFonts w:cs="Mangal"/>
      <w:color w:val="00000A"/>
      <w:szCs w:val="18"/>
    </w:rPr>
  </w:style>
  <w:style w:type="character" w:styleId="CommentSubjectChar" w:customStyle="1">
    <w:name w:val="Comment Subject Char"/>
    <w:basedOn w:val="CommentTextChar"/>
    <w:link w:val="CommentSubject"/>
    <w:uiPriority w:val="99"/>
    <w:semiHidden/>
    <w:qFormat/>
    <w:rsid w:val="009c329d"/>
    <w:rPr>
      <w:rFonts w:cs="Mangal"/>
      <w:b/>
      <w:bCs/>
      <w:color w:val="00000A"/>
      <w:szCs w:val="18"/>
    </w:rPr>
  </w:style>
  <w:style w:type="character" w:styleId="BalloonTextChar" w:customStyle="1">
    <w:name w:val="Balloon Text Char"/>
    <w:basedOn w:val="DefaultParagraphFont"/>
    <w:link w:val="BalloonText"/>
    <w:uiPriority w:val="99"/>
    <w:semiHidden/>
    <w:qFormat/>
    <w:rsid w:val="009c329d"/>
    <w:rPr>
      <w:rFonts w:ascii="Segoe UI" w:hAnsi="Segoe UI" w:cs="Mangal"/>
      <w:color w:val="00000A"/>
      <w:sz w:val="18"/>
      <w:szCs w:val="16"/>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uiPriority w:val="11"/>
    <w:qFormat/>
    <w:pPr/>
    <w:rPr/>
  </w:style>
  <w:style w:type="paragraph" w:styleId="Annotationtext">
    <w:name w:val="annotation text"/>
    <w:basedOn w:val="Normal"/>
    <w:link w:val="CommentTextChar"/>
    <w:uiPriority w:val="99"/>
    <w:semiHidden/>
    <w:unhideWhenUsed/>
    <w:qFormat/>
    <w:rsid w:val="009c329d"/>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9c329d"/>
    <w:pPr/>
    <w:rPr>
      <w:b/>
      <w:bCs/>
    </w:rPr>
  </w:style>
  <w:style w:type="paragraph" w:styleId="BalloonText">
    <w:name w:val="Balloon Text"/>
    <w:basedOn w:val="Normal"/>
    <w:link w:val="BalloonTextChar"/>
    <w:uiPriority w:val="99"/>
    <w:semiHidden/>
    <w:unhideWhenUsed/>
    <w:qFormat/>
    <w:rsid w:val="009c329d"/>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LibreOffice/6.1.5.2$Linux_X86_64 LibreOffice_project/10$Build-2</Application>
  <Pages>4</Pages>
  <Words>311</Words>
  <Characters>1930</Characters>
  <CharactersWithSpaces>2229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2019-03-11T20:05:00Z</dcterms:created>
  <dc:creator>Novotný Vojtěch</dc:creator>
  <dc:description/>
  <dc:language>en-US</dc:language>
  <cp:lastModifiedBy/>
  <dcterms:modified xsi:type="dcterms:W3CDTF">2019-03-20T15:24:59Z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