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Times New Roman" w:hAnsi="Times New Roman"/>
          <w:b/>
          <w:bCs/>
          <w:lang w:val="en-GB"/>
        </w:rPr>
        <w:t xml:space="preserve">Impact of pathogenic fungi, herbivores and predators on secondary succession of tropical </w:t>
      </w:r>
      <w:r>
        <w:rPr>
          <w:rFonts w:ascii="Times New Roman" w:hAnsi="Times New Roman"/>
          <w:b/>
          <w:bCs/>
          <w:color w:val="auto"/>
          <w:lang w:val="en-GB"/>
        </w:rPr>
        <w:t>rainforest vegetation</w:t>
      </w:r>
    </w:p>
    <w:p>
      <w:pPr>
        <w:pStyle w:val="TextBody"/>
        <w:rPr>
          <w:color w:val="auto"/>
        </w:rPr>
      </w:pPr>
      <w:r>
        <w:rPr>
          <w:rFonts w:ascii="Times New Roman" w:hAnsi="Times New Roman"/>
          <w:color w:val="auto"/>
          <w:lang w:val="en-GB"/>
        </w:rPr>
        <w:t>Piotr Szefer</w:t>
      </w:r>
      <w:r>
        <w:rPr>
          <w:rFonts w:ascii="Times New Roman" w:hAnsi="Times New Roman"/>
          <w:color w:val="auto"/>
          <w:vertAlign w:val="superscript"/>
          <w:lang w:val="en-GB"/>
        </w:rPr>
        <w:t>1,2</w:t>
      </w:r>
      <w:r>
        <w:rPr>
          <w:rFonts w:ascii="Times New Roman" w:hAnsi="Times New Roman"/>
          <w:color w:val="auto"/>
          <w:lang w:val="en-GB"/>
        </w:rPr>
        <w:t>, Kenneth Molem</w:t>
      </w:r>
      <w:r>
        <w:rPr>
          <w:rFonts w:ascii="Times New Roman" w:hAnsi="Times New Roman"/>
          <w:color w:val="auto"/>
          <w:vertAlign w:val="superscript"/>
          <w:lang w:val="en-GB"/>
        </w:rPr>
        <w:t>3</w:t>
      </w:r>
      <w:r>
        <w:rPr>
          <w:rFonts w:ascii="Times New Roman" w:hAnsi="Times New Roman"/>
          <w:color w:val="auto"/>
          <w:lang w:val="en-GB"/>
        </w:rPr>
        <w:t>, Austin Sau</w:t>
      </w:r>
      <w:r>
        <w:rPr>
          <w:rFonts w:ascii="Times New Roman" w:hAnsi="Times New Roman"/>
          <w:color w:val="auto"/>
          <w:vertAlign w:val="superscript"/>
          <w:lang w:val="en-GB"/>
        </w:rPr>
        <w:t>3</w:t>
      </w:r>
      <w:r>
        <w:rPr>
          <w:rFonts w:ascii="Times New Roman" w:hAnsi="Times New Roman"/>
          <w:color w:val="auto"/>
          <w:lang w:val="en-GB"/>
        </w:rPr>
        <w:t>, and Vojtech Novotny</w:t>
      </w:r>
      <w:r>
        <w:rPr>
          <w:rFonts w:ascii="Times New Roman" w:hAnsi="Times New Roman"/>
          <w:color w:val="auto"/>
          <w:vertAlign w:val="superscript"/>
          <w:lang w:val="en-GB"/>
        </w:rPr>
        <w:t>1,2</w:t>
      </w:r>
    </w:p>
    <w:p>
      <w:pPr>
        <w:pStyle w:val="TextBody"/>
        <w:rPr>
          <w:color w:val="auto"/>
        </w:rPr>
      </w:pPr>
      <w:r>
        <w:rPr>
          <w:rFonts w:ascii="Times New Roman" w:hAnsi="Times New Roman"/>
          <w:color w:val="auto"/>
          <w:vertAlign w:val="superscript"/>
          <w:lang w:val="en-GB"/>
        </w:rPr>
        <w:t xml:space="preserve">1 </w:t>
      </w:r>
      <w:r>
        <w:rPr>
          <w:rFonts w:ascii="Times New Roman" w:hAnsi="Times New Roman"/>
          <w:color w:val="auto"/>
          <w:lang w:val="en-GB"/>
        </w:rPr>
        <w:t xml:space="preserve">Faculty of Science, University of South Bohemia, Branišovská 31, 370-05 České Budějovice, Czech Republic. </w:t>
      </w:r>
    </w:p>
    <w:p>
      <w:pPr>
        <w:pStyle w:val="TextBody"/>
        <w:rPr>
          <w:color w:val="auto"/>
        </w:rPr>
      </w:pPr>
      <w:r>
        <w:rPr>
          <w:rFonts w:ascii="Times New Roman" w:hAnsi="Times New Roman"/>
          <w:color w:val="auto"/>
          <w:vertAlign w:val="superscript"/>
          <w:lang w:val="en-GB"/>
        </w:rPr>
        <w:t xml:space="preserve">2 </w:t>
      </w:r>
      <w:r>
        <w:rPr>
          <w:rFonts w:ascii="Times New Roman" w:hAnsi="Times New Roman"/>
          <w:color w:val="auto"/>
          <w:lang w:val="en-GB"/>
        </w:rPr>
        <w:t>Institute of Entomology, Biology Centre, Czech Academy of Sciences, České Budějovice, Czech Republic</w:t>
      </w:r>
    </w:p>
    <w:p>
      <w:pPr>
        <w:pStyle w:val="TextBody"/>
        <w:rPr>
          <w:color w:val="auto"/>
        </w:rPr>
      </w:pPr>
      <w:r>
        <w:rPr>
          <w:rFonts w:ascii="Times New Roman" w:hAnsi="Times New Roman"/>
          <w:color w:val="auto"/>
          <w:vertAlign w:val="superscript"/>
          <w:lang w:val="en-GB"/>
        </w:rPr>
        <w:t xml:space="preserve">3 </w:t>
      </w:r>
      <w:r>
        <w:rPr>
          <w:rFonts w:ascii="Times New Roman" w:hAnsi="Times New Roman"/>
          <w:color w:val="auto"/>
          <w:lang w:val="en-GB"/>
        </w:rPr>
        <w:t>New Guinea Binatang Research Center, Madang, Papua New Guinea</w:t>
      </w:r>
      <w:r>
        <w:br w:type="page"/>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 plant performance and competitive abilities as key drivers of early successional dynamics, in contrast to top-down biotic factors maintaining plant diversity in mature tropical forests.</w:t>
      </w:r>
    </w:p>
    <w:p>
      <w:pPr>
        <w:pStyle w:val="TextBody"/>
        <w:rPr>
          <w:rFonts w:ascii="Times New Roman" w:hAnsi="Times New Roman"/>
          <w:lang w:val="en-GB"/>
        </w:rPr>
      </w:pPr>
      <w:r>
        <w:rPr>
          <w:rFonts w:ascii="Times New Roman" w:hAnsi="Times New Roman"/>
          <w:lang w:val="en-GB"/>
        </w:rPr>
        <w:t>2. Here we are testing, for the first time, the effects of food web interactions on the early successional dynamics in a lowland tropical forest in Papua New Guinea. We initiated secondary succession on 36 vegetation plots (5 x 5m) organized in six blocks and followed successional trajectory in control plots, with experimentally excluded insects by insecticides, fungal pathogens by fungicides, and vertebrate predators by exclosures, and plots with introduced additional generalist herbivores, over the course of one year.</w:t>
      </w:r>
    </w:p>
    <w:p>
      <w:pPr>
        <w:pStyle w:val="TextBody"/>
        <w:rPr/>
      </w:pPr>
      <w:r>
        <w:rPr>
          <w:rFonts w:ascii="Times New Roman" w:hAnsi="Times New Roman"/>
          <w:lang w:val="en-GB"/>
        </w:rPr>
        <w:t>3. Insects were responsible for increased plant diversity, shifts in plant community composition and lower community mean leaf dry matter content. However, experimentally elevated density of generalist herbivores did not have the same diversifying effect, only reduced plant biomass and stem density. No other treatment had a significant effect on plant diversity, biomass during succession, and fungicide treatment only decreased stem density of woody plants.</w:t>
      </w:r>
    </w:p>
    <w:p>
      <w:pPr>
        <w:pStyle w:val="TextBody"/>
        <w:rPr>
          <w:rFonts w:ascii="Times New Roman" w:hAnsi="Times New Roman"/>
          <w:lang w:val="en-GB"/>
        </w:rPr>
      </w:pPr>
      <w:r>
        <w:rPr>
          <w:rFonts w:ascii="Times New Roman" w:hAnsi="Times New Roman"/>
          <w:lang w:val="en-GB"/>
        </w:rPr>
        <w:t>4. Community composition varied greatly between control plots from different experimental blocks. Using null model approach, we showed that the presence of insects and their vertebrate predators increased predictability of community assembly processes for woody plants, whilst the same effect was not found for fungi or additional herbivores.</w:t>
      </w:r>
    </w:p>
    <w:p>
      <w:pPr>
        <w:pStyle w:val="TextBody"/>
        <w:rPr/>
      </w:pPr>
      <w:r>
        <w:rPr>
          <w:rFonts w:ascii="Times New Roman" w:hAnsi="Times New Roman"/>
          <w:i/>
          <w:iCs/>
          <w:lang w:val="en-GB"/>
        </w:rPr>
        <w:t>4. Synthesis</w:t>
      </w:r>
      <w:r>
        <w:rPr>
          <w:rFonts w:ascii="Times New Roman" w:hAnsi="Times New Roman"/>
          <w:lang w:val="en-GB"/>
        </w:rPr>
        <w:t>. The early rainforest succession is not entirely plant-driven. In early successional communities, insects impacted plant diversity, abundance, species and leaf trait community composition. As expected, the early succession trajectories are highly variable, but insects and verte</w:t>
      </w:r>
      <w:r>
        <w:rPr>
          <w:rFonts w:ascii="Times New Roman" w:hAnsi="Times New Roman"/>
          <w:color w:val="auto"/>
          <w:lang w:val="en-GB"/>
        </w:rPr>
        <w:t>brate predators can reduce that unpredictability. Simplified or disturbed insect and vertebrate communities can thus impact the regeneration dynamics of tropical forests.</w:t>
      </w:r>
    </w:p>
    <w:p>
      <w:pPr>
        <w:pStyle w:val="TextBody"/>
        <w:rPr/>
      </w:pPr>
      <w:r>
        <w:rPr>
          <w:rFonts w:ascii="Times New Roman" w:hAnsi="Times New Roman"/>
          <w:b/>
          <w:bCs/>
          <w:color w:val="auto"/>
          <w:lang w:val="en-GB"/>
        </w:rPr>
        <w:t>Key Words</w:t>
      </w:r>
      <w:r>
        <w:rPr>
          <w:rFonts w:ascii="Times New Roman" w:hAnsi="Times New Roman"/>
          <w:color w:val="auto"/>
          <w:lang w:val="en-GB"/>
        </w:rPr>
        <w:t>: insect herbivory, Papua New Guinea, pathogenic fungi, predator exclosures, secondary forest, successional dynamics, top down factors, tropics.</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pPr>
      <w:r>
        <w:rPr>
          <w:rFonts w:ascii="Times New Roman" w:hAnsi="Times New Roman"/>
          <w:lang w:val="en-GB"/>
        </w:rPr>
        <w:t>Ecological succession is one of the few complex, community-level processes that are underpinned by ecological theory allowing us to predict its trajectory, including the dynamics of species composition and species functional traits (Turner, 2008). Succession can be seen as an outcome of deterministic, rule-based process driven mainly by inter-specific competition and environmental filtering, acting however on an initial species pool determined by often unpredictable dispersal events (</w:t>
      </w:r>
      <w:r>
        <w:rPr>
          <w:rFonts w:ascii="Times New Roman" w:hAnsi="Times New Roman"/>
          <w:b w:val="false"/>
          <w:bCs w:val="false"/>
          <w:lang w:val="en-GB"/>
        </w:rPr>
        <w:t xml:space="preserve">van Breugel, van Breugel, Jansen, Martínez-Ramos, &amp; Bongers </w:t>
      </w:r>
      <w:r>
        <w:rPr>
          <w:rFonts w:ascii="Times New Roman" w:hAnsi="Times New Roman"/>
          <w:lang w:val="en-GB"/>
        </w:rPr>
        <w:t xml:space="preserve">2012; Asefa et al., 2017; </w:t>
      </w:r>
      <w:r>
        <w:rPr>
          <w:rFonts w:ascii="Times New Roman" w:hAnsi="Times New Roman"/>
          <w:b w:val="false"/>
          <w:bCs w:val="false"/>
          <w:lang w:val="en-GB"/>
        </w:rPr>
        <w:t xml:space="preserve">Craven, Hall, Berlyn, Ashton, &amp; van Breugel </w:t>
      </w:r>
      <w:r>
        <w:rPr>
          <w:rFonts w:ascii="Times New Roman" w:hAnsi="Times New Roman"/>
          <w:lang w:val="en-GB"/>
        </w:rPr>
        <w:t xml:space="preserve">2018). Forest regeneration patterns are thus hypothesized to be mainly shaped by plant traits and abiotic conditions (Yamamoto, 2000; Schnitzer &amp; Bongers, 2002), while the effects of top-down biotic interactions have been rarely considered. This situation is in sharp contrast with increasing attention paid to top-down control of plant community composition in primary tropical forests. The Janzen-Connell hypothesis suggests that the diversity of these forests could be maintained by density-dependent mortality, caused by plant pathogens and herbivores (Janzen, 1970; Connell, 1971). In tropical forests, herbivorous insects (Gillet, 1962), their predators (Richards &amp; Coley, 2007) and pathogenic fungi (Augspurger, 1983; Clark &amp; Clark, 1989) are ubiquitous, abundant and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composition, but they were killing seedlings independently of their density (Bagchi et al., 2010; 2014). To our knowledge, there are no studies extending manipulative experiments to key predators of herbivores despite the fact that the importance of trophic cascades in tropical forests is well recognized (Letourneau &amp; Dyer, 1998; Milton &amp; Kaspari, 2007; </w:t>
      </w:r>
      <w:r>
        <w:rPr>
          <w:rFonts w:ascii="Times New Roman" w:hAnsi="Times New Roman"/>
          <w:b w:val="false"/>
          <w:bCs w:val="false"/>
          <w:lang w:val="en-GB"/>
        </w:rPr>
        <w:t>Leles, Xiao, Pasion, Nakamura, &amp; Tomlinson</w:t>
      </w:r>
      <w:r>
        <w:rPr>
          <w:rFonts w:ascii="Times New Roman" w:hAnsi="Times New Roman"/>
          <w:lang w:val="en-GB"/>
        </w:rPr>
        <w:t xml:space="preserve">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an environment rich in sunlight, often rich in mineral resources, and with competition-free space. This environmental filtering favours traits that maximize dispersal and growth rate at the expense of anti-herbivore defences (</w:t>
      </w:r>
      <w:r>
        <w:rPr>
          <w:rFonts w:ascii="Times New Roman" w:hAnsi="Times New Roman"/>
          <w:b w:val="false"/>
          <w:bCs w:val="false"/>
          <w:lang w:val="en-GB"/>
        </w:rPr>
        <w:t>Coley, Bryant, &amp; Chapin</w:t>
      </w:r>
      <w:r>
        <w:rPr>
          <w:rFonts w:ascii="Times New Roman" w:hAnsi="Times New Roman"/>
          <w:lang w:val="en-GB"/>
        </w:rPr>
        <w:t xml:space="preserve"> 1985; Denslow, 1987; Herms &amp; Mattson, 1992). Therefore, the pool of early successional species is relatively small and more closely related phylogenetically than expected by chance (Norden, 2009; </w:t>
      </w:r>
      <w:r>
        <w:rPr>
          <w:rFonts w:ascii="Times New Roman" w:hAnsi="Times New Roman"/>
          <w:b w:val="false"/>
          <w:bCs w:val="false"/>
          <w:lang w:val="en-GB"/>
        </w:rPr>
        <w:t>Whitfeld et al.,</w:t>
      </w:r>
      <w:r>
        <w:rPr>
          <w:rFonts w:ascii="Times New Roman" w:hAnsi="Times New Roman"/>
          <w:lang w:val="en-GB"/>
        </w:rPr>
        <w:t xml:space="preserve"> 2012). This can have important implications for the structure of interactions with their natural enemies.</w:t>
      </w:r>
    </w:p>
    <w:p>
      <w:pPr>
        <w:pStyle w:val="TextBody"/>
        <w:rPr/>
      </w:pPr>
      <w:r>
        <w:rPr>
          <w:rFonts w:ascii="Times New Roman" w:hAnsi="Times New Roman"/>
          <w:lang w:val="en-GB"/>
        </w:rPr>
        <w:t>Herbivorous insects reach higher density on secondary than primary forest foliage because of the higher abundance of more palatable and poorly defended young foliage in secondary forests (</w:t>
      </w:r>
      <w:r>
        <w:rPr>
          <w:rFonts w:ascii="Times New Roman" w:hAnsi="Times New Roman"/>
          <w:b w:val="false"/>
          <w:bCs w:val="false"/>
          <w:lang w:val="en-GB"/>
        </w:rPr>
        <w:t>Lepš, Novotný, &amp; Basset</w:t>
      </w:r>
      <w:r>
        <w:rPr>
          <w:rFonts w:ascii="Times New Roman" w:hAnsi="Times New Roman"/>
          <w:lang w:val="en-GB"/>
        </w:rPr>
        <w:t xml:space="preserve"> 2001; </w:t>
      </w:r>
      <w:r>
        <w:rPr>
          <w:rFonts w:ascii="Times New Roman" w:hAnsi="Times New Roman"/>
          <w:b w:val="false"/>
          <w:bCs w:val="false"/>
          <w:lang w:val="en-GB"/>
        </w:rPr>
        <w:t xml:space="preserve">Whitfeld, Kress, Erickson, &amp; Weiblen </w:t>
      </w:r>
      <w:r>
        <w:rPr>
          <w:rFonts w:ascii="Times New Roman" w:hAnsi="Times New Roman"/>
          <w:lang w:val="en-GB"/>
        </w:rPr>
        <w:t>2012). In contrast, pathogenic fungi, potential density-dependent mortality factors, have higher infection rates in shade tolerant species (García-Guzmán &amp; Heil, 2014). Mobile predators, including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for by fast growing pioneer species, but not slow-growing primary forest species (</w:t>
      </w:r>
      <w:r>
        <w:rPr>
          <w:rFonts w:ascii="Times New Roman" w:hAnsi="Times New Roman"/>
          <w:b w:val="false"/>
          <w:bCs w:val="false"/>
          <w:lang w:val="en-GB"/>
        </w:rPr>
        <w:t>Trumble, Kolodny-Hirsch, &amp; Ting</w:t>
      </w:r>
      <w:r>
        <w:rPr>
          <w:rFonts w:ascii="Times New Roman" w:hAnsi="Times New Roman"/>
          <w:lang w:val="en-GB"/>
        </w:rPr>
        <w:t xml:space="preserve"> 1993; Strauss &amp; Agrawal, 1999). Manipulative experiments are therefore key for assessing the importance of top-down biotic factors on plants.</w:t>
      </w:r>
    </w:p>
    <w:p>
      <w:pPr>
        <w:pStyle w:val="TextBody"/>
        <w:rPr/>
      </w:pPr>
      <w:r>
        <w:rPr>
          <w:rFonts w:ascii="Times New Roman" w:hAnsi="Times New Roman"/>
          <w:lang w:val="en-GB"/>
        </w:rPr>
        <w:t>In the course of secondary succession, specific leaf area (SLA) tends to decrease and leaf dry-matter content (LDMC) tends to increase (</w:t>
      </w:r>
      <w:r>
        <w:rPr>
          <w:rFonts w:ascii="Times New Roman" w:hAnsi="Times New Roman"/>
          <w:b w:val="false"/>
          <w:bCs w:val="false"/>
          <w:lang w:val="en-GB"/>
        </w:rPr>
        <w:t>Buzzard, Hulshof, Birt, Violle, &amp; Enquist</w:t>
      </w:r>
      <w:r>
        <w:rPr>
          <w:rFonts w:ascii="Times New Roman" w:hAnsi="Times New Roman"/>
          <w:lang w:val="en-GB"/>
        </w:rPr>
        <w:t xml:space="preserve"> 2015;  Boukili &amp; Chazdon, 2016). High community weighted mean (CWM) SLA values and low LDMC values often indicate low competitive pressure within the community (Kunstler et al., 2016). So far, these traits were shown to be connected to plant competition (</w:t>
      </w:r>
      <w:r>
        <w:rPr>
          <w:rFonts w:ascii="Times New Roman" w:hAnsi="Times New Roman"/>
          <w:b w:val="false"/>
          <w:bCs w:val="false"/>
          <w:lang w:val="en-GB"/>
        </w:rPr>
        <w:t xml:space="preserve">Lasky, Uriarte, Boukili, &amp; Chazdon </w:t>
      </w:r>
      <w:r>
        <w:rPr>
          <w:rFonts w:ascii="Times New Roman" w:hAnsi="Times New Roman"/>
          <w:lang w:val="en-GB"/>
        </w:rPr>
        <w:t>2014), but their role in mediating plant community responses to biotic factors such as herbivory during succession has not been examined.</w:t>
      </w:r>
    </w:p>
    <w:p>
      <w:pPr>
        <w:pStyle w:val="TextBody"/>
        <w:rPr/>
      </w:pPr>
      <w:r>
        <w:rPr>
          <w:rFonts w:ascii="Times New Roman" w:hAnsi="Times New Roman"/>
          <w:lang w:val="en-GB"/>
        </w:rPr>
        <w:t>Even under uniform environmental conditions succession can progress by alternative, divergent pathways (</w:t>
      </w:r>
      <w:r>
        <w:rPr>
          <w:rFonts w:ascii="Times New Roman" w:hAnsi="Times New Roman"/>
          <w:b w:val="false"/>
          <w:bCs w:val="false"/>
          <w:lang w:val="en-GB"/>
        </w:rPr>
        <w:t>Mesquita, Ickes, Ganade, &amp; Williamson</w:t>
      </w:r>
      <w:r>
        <w:rPr>
          <w:rFonts w:ascii="Times New Roman" w:hAnsi="Times New Roman"/>
          <w:lang w:val="en-GB"/>
        </w:rPr>
        <w:t xml:space="preserve"> 2001; </w:t>
      </w:r>
      <w:r>
        <w:rPr>
          <w:rFonts w:ascii="Times New Roman" w:hAnsi="Times New Roman"/>
          <w:b w:val="false"/>
          <w:bCs w:val="false"/>
          <w:lang w:val="en-GB"/>
        </w:rPr>
        <w:t>Suding, Gross, &amp; Houseman</w:t>
      </w:r>
      <w:r>
        <w:rPr>
          <w:rFonts w:ascii="Times New Roman" w:hAnsi="Times New Roman"/>
          <w:lang w:val="en-GB"/>
        </w:rPr>
        <w:t xml:space="preserve"> 2004; </w:t>
      </w:r>
      <w:r>
        <w:rPr>
          <w:rFonts w:ascii="Times New Roman" w:hAnsi="Times New Roman"/>
          <w:b w:val="false"/>
          <w:bCs w:val="false"/>
          <w:lang w:val="en-GB"/>
        </w:rPr>
        <w:t>Williamson, Bentos, Longworth, &amp; Mesquita</w:t>
      </w:r>
      <w:r>
        <w:rPr>
          <w:rFonts w:ascii="Times New Roman" w:hAnsi="Times New Roman"/>
          <w:lang w:val="en-GB"/>
        </w:rPr>
        <w:t xml:space="preserve"> 2014). This unpredictability is assigned to random, neutral dynamics (Hubbel, 2001) including colonization, extinction, and ecological drift. Some of these random changes in the structure of early successional plant communities may persist for decades (</w:t>
      </w:r>
      <w:r>
        <w:rPr>
          <w:rFonts w:ascii="Times New Roman" w:hAnsi="Times New Roman"/>
          <w:b w:val="false"/>
          <w:bCs w:val="false"/>
          <w:lang w:val="en-GB"/>
        </w:rPr>
        <w:t>Saldarriaga, West, Tharp, &amp; Uhl,</w:t>
      </w:r>
      <w:r>
        <w:rPr>
          <w:rFonts w:ascii="Times New Roman" w:hAnsi="Times New Roman"/>
          <w:lang w:val="en-GB"/>
        </w:rPr>
        <w:t xml:space="preserve"> 1988). Early changes in successional trajectories often lead to significant differences in community structure (Norden et al., 2015), species composition (Guariguata &amp; Ostertag, 2001; Barlow et al., 2007), and species turnover rates (</w:t>
      </w:r>
      <w:r>
        <w:rPr>
          <w:rFonts w:ascii="Times New Roman" w:hAnsi="Times New Roman"/>
          <w:b w:val="false"/>
          <w:bCs w:val="false"/>
          <w:lang w:val="en-GB"/>
        </w:rPr>
        <w:t>Mesquita, Massoca, Jakovac, Bentos, &amp; Williamson</w:t>
      </w:r>
      <w:r>
        <w:rPr>
          <w:rFonts w:ascii="Times New Roman" w:hAnsi="Times New Roman"/>
          <w:lang w:val="en-GB"/>
        </w:rPr>
        <w:t xml:space="preserve"> 2015). Therefore, making predictions on the outcome of successional processes is a challenging task. In theory, Janzen-Connell type of density dependent response by herbivores and/or their predators can  increase the predictability of succession, but this hypothesis has yet to be tested in secondary tropical rainforests.</w:t>
      </w:r>
    </w:p>
    <w:p>
      <w:pPr>
        <w:pStyle w:val="TextBody"/>
        <w:rPr/>
      </w:pPr>
      <w:r>
        <w:rPr>
          <w:rFonts w:ascii="Times New Roman" w:hAnsi="Times New Roman"/>
          <w:lang w:val="en-GB"/>
        </w:rPr>
        <w:t>In this paper we experimentally test the hypothesis that above-ground biotic factors (fungal pathogens, insect herbivores, and predators) can have significant impact on the direction of initial secondary succession of tropical rainforest vegetation. More specifically, we hypothesise that herbivores control productivity, richness, and composition of the early successional plant community by mitigating inter-specific competition between plants (Chesson, 2000). Contrarily, predators could, by limiting herbivore abundance, cause simplification of the plant community composition through increased inter-specific competition. We hypothesize that the impact of pathogenic fungi, at least for the initial stages of secondary succession, may be weaker than in primary forest because of the relatively unfavourable micro-climatic conditions and fewer opportunities for seedling infection from conspecific mature trees. Finally, we hypothesize that the biotic factors, by responding to the initial plant composition mostly determined by stochastic dispersal, can shift succession trajectories in a predictable manner by increasing determinism in community assembly processes.</w:t>
      </w:r>
    </w:p>
    <w:p>
      <w:pPr>
        <w:pStyle w:val="TextBody"/>
        <w:rPr>
          <w:rFonts w:ascii="Times New Roman" w:hAnsi="Times New Roman"/>
          <w:b/>
          <w:b/>
          <w:bCs/>
          <w:lang w:val="en-GB"/>
        </w:rPr>
      </w:pPr>
      <w:bookmarkStart w:id="1" w:name="materials-and-methods"/>
      <w:bookmarkEnd w:id="1"/>
      <w:r>
        <w:rPr>
          <w:rFonts w:ascii="Times New Roman" w:hAnsi="Times New Roman"/>
          <w:b/>
          <w:bCs/>
          <w:lang w:val="en-GB"/>
        </w:rPr>
        <w:br/>
        <w:t>Materials and methods</w:t>
      </w:r>
    </w:p>
    <w:p>
      <w:pPr>
        <w:pStyle w:val="TextBody"/>
        <w:rPr>
          <w:rFonts w:ascii="Times New Roman" w:hAnsi="Times New Roman"/>
          <w:i/>
          <w:i/>
          <w:iCs/>
          <w:lang w:val="en-GB"/>
        </w:rPr>
      </w:pPr>
      <w:bookmarkStart w:id="2" w:name="study-sites"/>
      <w:bookmarkEnd w:id="2"/>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village (145°5′32″E, 5°14′26″S) located in the Wanang Conservation Area in the Ramu River basin, Madang Province, Papua New Guinea. The climate in the region is humid, with a mild dry season from July to September. Annual rainfall averages around 3500 mm and the mean annual temperature 26°C (</w:t>
      </w:r>
      <w:r>
        <w:rPr>
          <w:rFonts w:ascii="Times New Roman" w:hAnsi="Times New Roman"/>
          <w:b w:val="false"/>
          <w:bCs w:val="false"/>
          <w:lang w:val="en-GB"/>
        </w:rPr>
        <w:t xml:space="preserve">McAlpine, Keig, &amp; Falls </w:t>
      </w:r>
      <w:r>
        <w:rPr>
          <w:rFonts w:ascii="Times New Roman" w:hAnsi="Times New Roman"/>
          <w:lang w:val="en-GB"/>
        </w:rPr>
        <w:t>1983). The study was conducted in abandoned food gardens created during slash-and-burn subsistence agriculture within the primary forest matrix. After clearance, vegetation is burned, gardens are planted with mixed crops and after a few harvests (typically after two years) gardens are abandoned and left to spontaneous forest regeneration. This setup creates an excellent opportunity to study secondary succession starting on bare ground. Old abandoned gardens have an open canopy and a mostly undisturbed seed bank, which is required for initiation of secondary growth. The lack of tillage and the lack of pesticide or fertilizer use during cultivation leaves soil properties and microbial biomass unchanged, making local conditions practically indistinguishable from soil in naturally created forest gaps (Kukla et al., 2019). Usually the structure of regenerating forests resembles that of the nearby natural forest tree gaps (</w:t>
      </w:r>
      <w:r>
        <w:rPr>
          <w:rFonts w:ascii="Times New Roman" w:hAnsi="Times New Roman"/>
          <w:b w:val="false"/>
          <w:bCs w:val="false"/>
          <w:lang w:val="en-GB"/>
        </w:rPr>
        <w:t>Richards, Walsh, Baillie, &amp; Greig-Smith</w:t>
      </w:r>
      <w:r>
        <w:rPr>
          <w:rFonts w:ascii="Times New Roman" w:hAnsi="Times New Roman"/>
          <w:lang w:val="en-GB"/>
        </w:rPr>
        <w:t xml:space="preserve"> 1996). </w:t>
      </w:r>
    </w:p>
    <w:p>
      <w:pPr>
        <w:pStyle w:val="TextBody"/>
        <w:rPr>
          <w:rFonts w:ascii="Times New Roman" w:hAnsi="Times New Roman"/>
          <w:i/>
          <w:i/>
          <w:iCs/>
          <w:lang w:val="en-GB"/>
        </w:rPr>
      </w:pPr>
      <w:bookmarkStart w:id="3" w:name="experimental-design"/>
      <w:bookmarkEnd w:id="3"/>
      <w:r>
        <w:rPr>
          <w:rFonts w:ascii="Times New Roman" w:hAnsi="Times New Roman"/>
          <w:i/>
          <w:iCs/>
          <w:lang w:val="en-GB"/>
        </w:rPr>
        <w:t>Experimental design</w:t>
      </w:r>
    </w:p>
    <w:p>
      <w:pPr>
        <w:pStyle w:val="TextBody"/>
        <w:rPr/>
      </w:pPr>
      <w:r>
        <w:rPr>
          <w:rFonts w:ascii="Times New Roman" w:hAnsi="Times New Roman"/>
          <w:lang w:val="en-GB"/>
        </w:rPr>
        <w:t>Within a radius of 3 km from the village we selected six experimental gardens (blocks) 3-5 years old, each covering an area of approximately 400 m</w:t>
      </w:r>
      <w:r>
        <w:rPr>
          <w:rFonts w:ascii="Times New Roman" w:hAnsi="Times New Roman"/>
          <w:vertAlign w:val="superscript"/>
          <w:lang w:val="en-GB"/>
        </w:rPr>
        <w:t>2</w:t>
      </w:r>
      <w:r>
        <w:rPr>
          <w:rFonts w:ascii="Times New Roman" w:hAnsi="Times New Roman"/>
          <w:lang w:val="en-GB"/>
        </w:rPr>
        <w:t xml:space="preserve">, separated by a minimal distance of 200 m. Within each block we cleared all aboveground vegetation and removed all the rocks and dead wood so that bare soil covered </w:t>
      </w:r>
      <w:r>
        <w:rPr>
          <w:rFonts w:cs="Times New Roman" w:ascii="Times New Roman" w:hAnsi="Times New Roman"/>
          <w:lang w:val="en-GB"/>
        </w:rPr>
        <w:t>≥</w:t>
      </w:r>
      <w:r>
        <w:rPr>
          <w:rFonts w:ascii="Times New Roman" w:hAnsi="Times New Roman"/>
          <w:lang w:val="en-GB"/>
        </w:rPr>
        <w:t>95% of each plot. We also removed all tree stumps and tree roots from the top 30 cm of soil to prevent re-sprouting. These initial preparations were shown to have no effect on the seed bank and soil conditions (Chazdon, 2014). Within each block, six 5x5 m experimental plots were established, resulting in 36 experimental plots in total (six plots within each of the six blocks). Individual plots were separated by 1-meter gaps. We also cleared 3-meter margins around each block to minimize edge effects. A control plot and five experimental treatments were randomly assigned within each block according to a randomized design (Supporting Information, Fig. S1). The following treatments were applied continuously for 12 months:</w:t>
      </w:r>
    </w:p>
    <w:p>
      <w:pPr>
        <w:pStyle w:val="TextBody"/>
        <w:rPr>
          <w:rFonts w:ascii="Times New Roman" w:hAnsi="Times New Roman"/>
          <w:lang w:val="en-GB"/>
        </w:rPr>
      </w:pPr>
      <w:r>
        <w:rPr>
          <w:rFonts w:ascii="Times New Roman" w:hAnsi="Times New Roman"/>
          <w:lang w:val="en-GB"/>
        </w:rPr>
        <w:t>1. Control (C) was sprayed weekly with an appropriate amount of water to simulate application of pesticides. In order to account for the possible effect of fencing used in I, P, H1 and H2 treatments (see below) a 50 cm high dummy plastic fence with a 10-20 cm gap left at the ground level was built to allow for easy access to crawling insects, lizards, and rodents.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a wide range of fungal pathogens, a contact fungicide mancozeb (12.5 g soluble powder per 5l, commercial name: Mancozeb) was applied on above ground plants according to manufacturer instructions at weekly intervals. A dummy fence was also used, as in C. </w:t>
      </w:r>
    </w:p>
    <w:p>
      <w:pPr>
        <w:pStyle w:val="TextBody"/>
        <w:rPr/>
      </w:pPr>
      <w:r>
        <w:rPr>
          <w:rFonts w:ascii="Times New Roman" w:hAnsi="Times New Roman"/>
          <w:lang w:val="en-GB"/>
        </w:rPr>
        <w:t>3.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which continued 20 cm below the ground. Insect glue (tanglefoot) was repeatedly applied on the top of the fence to prevent insect colonization.</w:t>
      </w:r>
    </w:p>
    <w:p>
      <w:pPr>
        <w:pStyle w:val="TextBody"/>
        <w:rPr/>
      </w:pPr>
      <w:r>
        <w:rPr>
          <w:rFonts w:ascii="Times New Roman" w:hAnsi="Times New Roman"/>
          <w:lang w:val="en-GB"/>
        </w:rPr>
        <w:t xml:space="preserve">4. Exclusion of predatory ants, insectivorous birds, and bats (P). A transparent fishing net (1.5-2.0 cm mesh size) was secured over the plot to protect vegetation from foraging birds and bats. To reduce key invertebrate predators – ants – we used poisonous tuna baits (Permethrin 0.5%) exposed in the enclosed traps accessible to ants but not to flying insects (used also in </w:t>
      </w:r>
      <w:r>
        <w:rPr>
          <w:rFonts w:ascii="Times New Roman" w:hAnsi="Times New Roman"/>
          <w:b w:val="false"/>
          <w:bCs w:val="false"/>
          <w:lang w:val="en-GB"/>
        </w:rPr>
        <w:t xml:space="preserve">Klimes, Janda, Ibalim, Kua, &amp; Novotny </w:t>
      </w:r>
      <w:r>
        <w:rPr>
          <w:rFonts w:ascii="Times New Roman" w:hAnsi="Times New Roman"/>
          <w:lang w:val="en-GB"/>
        </w:rPr>
        <w:t xml:space="preserve">2011) inside the plot in monthly intervals. The plot was surrounded by a plastic fence as in treatment I to prevent ants from re-colonizing the plot. </w:t>
      </w:r>
    </w:p>
    <w:p>
      <w:pPr>
        <w:pStyle w:val="TextBody"/>
        <w:rPr/>
      </w:pPr>
      <w:r>
        <w:rPr>
          <w:rFonts w:ascii="Times New Roman" w:hAnsi="Times New Roman"/>
          <w:lang w:val="en-GB"/>
        </w:rPr>
        <w:t xml:space="preserve">5. Increased herbivory – moderate level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(Supporting Information, Fig. S2). Every two weeks, 25 weevils were collected in surrounding forest, starved for 24 hours and released into the plot every two weeks to sustain their population size. Plots were additionally protected from predators with exclosures (see treatment P) and fenced with insect glue applied on the top of the fence to prevent weevils from dispersing to the remaining plots.</w:t>
      </w:r>
    </w:p>
    <w:p>
      <w:pPr>
        <w:pStyle w:val="TextBody"/>
        <w:rPr/>
      </w:pPr>
      <w:r>
        <w:rPr>
          <w:rFonts w:ascii="Times New Roman" w:hAnsi="Times New Roman"/>
          <w:lang w:val="en-GB"/>
        </w:rPr>
        <w:t xml:space="preserve">6. Increased herbivory – high level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4" w:name="sampling"/>
      <w:bookmarkEnd w:id="4"/>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the complete above-ground vegetation from all 36 plots was destructively sampled. In each plot, all plant species were sorted and identified to species and weighed with 1g accuracy. During sampling all the stems with diameter at breast height (DBH) </w:t>
      </w:r>
      <w:r>
        <w:rPr>
          <w:rFonts w:cs="Times New Roman" w:ascii="Times New Roman" w:hAnsi="Times New Roman"/>
          <w:lang w:val="en-GB"/>
        </w:rPr>
        <w:t>≥</w:t>
      </w:r>
      <w:r>
        <w:rPr>
          <w:rFonts w:ascii="Times New Roman" w:hAnsi="Times New Roman"/>
          <w:lang w:val="en-GB"/>
        </w:rPr>
        <w:t>1cm were counted and their DBH value measured. Leaf area was calculated by randomly sampling leaves from the pool of all leaves for each species at a given plot until 50x50 cm area (“leaf frame”) was filled. The frame was then photographed and processed using ImageJ software (</w:t>
      </w:r>
      <w:r>
        <w:rPr>
          <w:rFonts w:ascii="Times New Roman" w:hAnsi="Times New Roman"/>
          <w:b w:val="false"/>
          <w:bCs w:val="false"/>
          <w:lang w:val="en-GB"/>
        </w:rPr>
        <w:t xml:space="preserve">Schneider, Rasband, &amp; Eliceiri </w:t>
      </w:r>
      <w:r>
        <w:rPr>
          <w:rFonts w:ascii="Times New Roman" w:hAnsi="Times New Roman"/>
          <w:lang w:val="en-GB"/>
        </w:rPr>
        <w:t>2012). Herbivory, defined as a proportion of leaf area loss due to insect feeding, was obtained by comparing leaf area measured to the total estimated area for intact leaves. Leaf frame samples were then oven dried and weighed, and leaf dry matter content (LDMC) was recorded. The specific leaf area (SLA, in cm</w:t>
      </w:r>
      <w:r>
        <w:rPr>
          <w:rFonts w:ascii="Times New Roman" w:hAnsi="Times New Roman"/>
          <w:vertAlign w:val="superscript"/>
          <w:lang w:val="en-GB"/>
        </w:rPr>
        <w:t>2</w:t>
      </w:r>
      <w:r>
        <w:rPr>
          <w:rFonts w:ascii="Times New Roman" w:hAnsi="Times New Roman"/>
          <w:lang w:val="en-GB"/>
        </w:rPr>
        <w:t>g</w:t>
      </w:r>
      <w:r>
        <w:rPr>
          <w:rFonts w:ascii="Times New Roman" w:hAnsi="Times New Roman"/>
          <w:vertAlign w:val="superscript"/>
          <w:lang w:val="en-GB"/>
        </w:rPr>
        <w:t>-1</w:t>
      </w:r>
      <w:r>
        <w:rPr>
          <w:rFonts w:ascii="Times New Roman" w:hAnsi="Times New Roman"/>
          <w:lang w:val="en-GB"/>
        </w:rPr>
        <w:t>) was calculated as a ratio of leaf area to its dry mass. The community-weighted mean (CWM) was used for LDMC and SLA in the analysis.. CWMs are average trait values where each species’ contribution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color w:val="222222"/>
          <w:lang w:val="en-GB"/>
        </w:rPr>
        <w:t>All analyses were performed in R (</w:t>
      </w:r>
      <w:hyperlink r:id="rId2">
        <w:r>
          <w:rPr>
            <w:rStyle w:val="InternetLink"/>
            <w:rFonts w:ascii="Times New Roman" w:hAnsi="Times New Roman"/>
            <w:color w:val="auto"/>
            <w:u w:val="none"/>
          </w:rPr>
          <w:t>R Development Core Team</w:t>
        </w:r>
      </w:hyperlink>
      <w:r>
        <w:rPr>
          <w:rFonts w:ascii="Times New Roman" w:hAnsi="Times New Roman"/>
          <w:color w:val="222222"/>
          <w:lang w:val="en-GB"/>
        </w:rPr>
        <w:t xml:space="preserve">, 2014). </w:t>
      </w:r>
      <w:r>
        <w:rPr>
          <w:rFonts w:ascii="Times New Roman" w:hAnsi="Times New Roman"/>
          <w:lang w:val="en-GB"/>
        </w:rPr>
        <w:t xml:space="preserve">To evaluate the effects of treatments on various community characteristics, we developed linear and generalized linear mixed-models using the </w:t>
      </w:r>
      <w:r>
        <w:rPr>
          <w:rFonts w:ascii="Times New Roman" w:hAnsi="Times New Roman"/>
          <w:i/>
          <w:iCs/>
          <w:lang w:val="en-GB"/>
        </w:rPr>
        <w:t>lme4</w:t>
      </w:r>
      <w:r>
        <w:rPr>
          <w:rFonts w:ascii="Times New Roman" w:hAnsi="Times New Roman"/>
          <w:lang w:val="en-GB"/>
        </w:rPr>
        <w:t xml:space="preserve"> package </w:t>
      </w:r>
      <w:r>
        <w:rPr>
          <w:rFonts w:ascii="Times New Roman" w:hAnsi="Times New Roman"/>
          <w:color w:val="222222"/>
          <w:lang w:val="en-GB"/>
        </w:rPr>
        <w:t>(</w:t>
      </w:r>
      <w:r>
        <w:rPr>
          <w:rFonts w:ascii="Times New Roman" w:hAnsi="Times New Roman"/>
          <w:b w:val="false"/>
          <w:bCs w:val="false"/>
          <w:color w:val="222222"/>
          <w:lang w:val="en-GB"/>
        </w:rPr>
        <w:t xml:space="preserve">Bates, Mächler, Bolker, &amp; Walker </w:t>
      </w:r>
      <w:r>
        <w:rPr>
          <w:rFonts w:ascii="Times New Roman" w:hAnsi="Times New Roman"/>
          <w:color w:val="222222"/>
          <w:lang w:val="en-GB"/>
        </w:rPr>
        <w:t>2015</w:t>
      </w:r>
      <w:r>
        <w:rPr>
          <w:rFonts w:ascii="Times New Roman" w:hAnsi="Times New Roman"/>
          <w:lang w:val="en-GB"/>
        </w:rPr>
        <w:t xml:space="preserve">) where we considered block (garden) as a random factor. We modelled diversity, logarithm of the plot biomass  and CWM for traits using </w:t>
      </w:r>
      <w:r>
        <w:rPr>
          <w:rFonts w:ascii="Times New Roman" w:hAnsi="Times New Roman"/>
          <w:i/>
          <w:iCs/>
          <w:lang w:val="en-GB"/>
        </w:rPr>
        <w:t>lmer</w:t>
      </w:r>
      <w:r>
        <w:rPr>
          <w:rFonts w:ascii="Times New Roman" w:hAnsi="Times New Roman"/>
          <w:lang w:val="en-GB"/>
        </w:rPr>
        <w:t xml:space="preserve"> function. Herbivory and LDMC values were logit-transformed, and SLA values log-transformed prior to the analyses, to obtain Gaussian error distributions. For the number of species within the plot we used Poisson distribution and the function </w:t>
      </w:r>
      <w:r>
        <w:rPr>
          <w:rFonts w:ascii="Times New Roman" w:hAnsi="Times New Roman"/>
          <w:i/>
          <w:iCs/>
          <w:lang w:val="en-GB"/>
        </w:rPr>
        <w:t>glmer</w:t>
      </w:r>
      <w:r>
        <w:rPr>
          <w:rFonts w:ascii="Times New Roman" w:hAnsi="Times New Roman"/>
          <w:lang w:val="en-GB"/>
        </w:rPr>
        <w:t xml:space="preserve">. Due to over-dispersion in the data we assumed negative binomial distribution for the stem abundance and estimated parameters of the model using the </w:t>
      </w:r>
      <w:r>
        <w:rPr>
          <w:rFonts w:ascii="Times New Roman" w:hAnsi="Times New Roman"/>
          <w:i/>
          <w:iCs/>
          <w:lang w:val="en-GB"/>
        </w:rPr>
        <w:t>glmer.nb</w:t>
      </w:r>
      <w:r>
        <w:rPr>
          <w:rFonts w:ascii="Times New Roman" w:hAnsi="Times New Roman"/>
          <w:lang w:val="en-GB"/>
        </w:rPr>
        <w:t xml:space="preserve"> function. For the above analyses we obtained p-values for our models using the </w:t>
      </w:r>
      <w:r>
        <w:rPr>
          <w:rFonts w:ascii="Times New Roman" w:hAnsi="Times New Roman"/>
          <w:i/>
          <w:iCs/>
          <w:lang w:val="en-GB"/>
        </w:rPr>
        <w:t>lmerTest</w:t>
      </w:r>
      <w:r>
        <w:rPr>
          <w:rFonts w:ascii="Times New Roman" w:hAnsi="Times New Roman"/>
          <w:lang w:val="en-GB"/>
        </w:rPr>
        <w:t xml:space="preserve"> package (</w:t>
      </w:r>
      <w:r>
        <w:rPr>
          <w:rFonts w:ascii="Times New Roman" w:hAnsi="Times New Roman"/>
          <w:b w:val="false"/>
          <w:bCs w:val="false"/>
          <w:lang w:val="en-GB"/>
        </w:rPr>
        <w:t>Kuznetsova, Brockhoff, &amp; Christensen</w:t>
      </w:r>
      <w:r>
        <w:rPr>
          <w:rFonts w:ascii="Times New Roman" w:hAnsi="Times New Roman"/>
          <w:lang w:val="en-GB"/>
        </w:rPr>
        <w:t xml:space="preserve"> 2017).</w:t>
      </w:r>
    </w:p>
    <w:p>
      <w:pPr>
        <w:pStyle w:val="TextBody"/>
        <w:rPr/>
      </w:pPr>
      <w:r>
        <w:rPr>
          <w:rFonts w:ascii="Times New Roman" w:hAnsi="Times New Roman"/>
          <w:lang w:val="en-GB"/>
        </w:rPr>
        <w:t xml:space="preserve">We used RDA ordination conditioned on block as implemented in the </w:t>
      </w:r>
      <w:r>
        <w:rPr>
          <w:rFonts w:ascii="Times New Roman" w:hAnsi="Times New Roman"/>
          <w:i/>
          <w:iCs/>
          <w:lang w:val="en-GB"/>
        </w:rPr>
        <w:t>vegan</w:t>
      </w:r>
      <w:r>
        <w:rPr>
          <w:rFonts w:ascii="Times New Roman" w:hAnsi="Times New Roman"/>
          <w:lang w:val="en-GB"/>
        </w:rPr>
        <w:t xml:space="preserve"> package (Oksanen et al., 2016) to test for differences in community composition. Significance of observed differences were assessed by permutation tests (999 randomizations), while preserving the random structure of blocks determined by the experimental design. Because of the differences in plant community biomass among plots, individual plant biomass was expressed as the proportion of the total biomass of the community. To test for dominance shifts in our communities we selected a few species to compare their relative abundance in control plots and treatment plots. For meaningful comparisons, we chose species which were present in control and treatment plots in at least three blocks, and which on average represented &gt;5% of the community biomass. We compared average proportions for a given species between control and treatment using </w:t>
      </w:r>
      <w:r>
        <w:rPr>
          <w:rFonts w:ascii="Times New Roman" w:hAnsi="Times New Roman"/>
          <w:i/>
          <w:iCs/>
          <w:lang w:val="en-GB"/>
        </w:rPr>
        <w:t>betareg</w:t>
      </w:r>
      <w:r>
        <w:rPr>
          <w:rFonts w:ascii="Times New Roman" w:hAnsi="Times New Roman"/>
          <w:lang w:val="en-GB"/>
        </w:rPr>
        <w:t xml:space="preserve"> function in the </w:t>
      </w:r>
      <w:r>
        <w:rPr>
          <w:rFonts w:ascii="Times New Roman" w:hAnsi="Times New Roman"/>
          <w:i/>
          <w:iCs/>
          <w:lang w:val="en-GB"/>
        </w:rPr>
        <w:t>betareg</w:t>
      </w:r>
      <w:r>
        <w:rPr>
          <w:rFonts w:ascii="Times New Roman" w:hAnsi="Times New Roman"/>
          <w:lang w:val="en-GB"/>
        </w:rPr>
        <w:t xml:space="preserve"> package (Cribari-Neto &amp; Zeileis, 2010). To see if there were differences in trait values between species responsible for the community composition shifts, we built a linear mixed-effects model with trait values from the control plots as a response and blocks included as a random effect. For multiple comparisons we used the </w:t>
      </w:r>
      <w:r>
        <w:rPr>
          <w:rFonts w:ascii="Times New Roman" w:hAnsi="Times New Roman"/>
          <w:i/>
          <w:iCs/>
          <w:lang w:val="en-GB"/>
        </w:rPr>
        <w:t>lsmeans</w:t>
      </w:r>
      <w:r>
        <w:rPr>
          <w:rFonts w:ascii="Times New Roman" w:hAnsi="Times New Roman"/>
          <w:lang w:val="en-GB"/>
        </w:rPr>
        <w:t xml:space="preserve"> and </w:t>
      </w:r>
      <w:r>
        <w:rPr>
          <w:rFonts w:ascii="Times New Roman" w:hAnsi="Times New Roman"/>
          <w:i/>
          <w:iCs/>
          <w:lang w:val="en-GB"/>
        </w:rPr>
        <w:t>cdt</w:t>
      </w:r>
      <w:r>
        <w:rPr>
          <w:rFonts w:ascii="Times New Roman" w:hAnsi="Times New Roman"/>
          <w:lang w:val="en-GB"/>
        </w:rPr>
        <w:t xml:space="preserve"> functions from the </w:t>
      </w:r>
      <w:r>
        <w:rPr>
          <w:rFonts w:ascii="Times New Roman" w:hAnsi="Times New Roman"/>
          <w:i/>
          <w:iCs/>
          <w:lang w:val="en-GB"/>
        </w:rPr>
        <w:t>emmeans</w:t>
      </w:r>
      <w:r>
        <w:rPr>
          <w:rFonts w:ascii="Times New Roman" w:hAnsi="Times New Roman"/>
          <w:lang w:val="en-GB"/>
        </w:rPr>
        <w:t xml:space="preserve"> package</w:t>
      </w:r>
      <w:bookmarkStart w:id="5" w:name="rstudio_console_output71"/>
      <w:bookmarkEnd w:id="5"/>
      <w:r>
        <w:rPr>
          <w:rFonts w:ascii="Times New Roman" w:hAnsi="Times New Roman"/>
          <w:lang w:val="en-GB"/>
        </w:rPr>
        <w:t xml:space="preserve"> (</w:t>
      </w:r>
      <w:r>
        <w:rPr>
          <w:rFonts w:ascii="Times New Roman" w:hAnsi="Times New Roman"/>
          <w:b w:val="false"/>
          <w:bCs w:val="false"/>
          <w:lang w:val="en-GB"/>
        </w:rPr>
        <w:t>Lenth, Singmann, Love, Buerkner, &amp; Herve</w:t>
      </w:r>
      <w:r>
        <w:rPr>
          <w:rFonts w:ascii="Times New Roman" w:hAnsi="Times New Roman"/>
          <w:lang w:val="en-GB"/>
        </w:rPr>
        <w:t xml:space="preserve"> 2019) with Tukey’s multiplicity adjustment.</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a null model approach proposed by </w:t>
      </w:r>
      <w:r>
        <w:rPr>
          <w:rFonts w:ascii="Times New Roman" w:hAnsi="Times New Roman"/>
          <w:b w:val="false"/>
          <w:bCs w:val="false"/>
          <w:lang w:val="en-GB"/>
        </w:rPr>
        <w:t>Chase, Kraft, Smith, Vellend, and Inouye</w:t>
      </w:r>
      <w:r>
        <w:rPr>
          <w:rFonts w:ascii="Times New Roman" w:hAnsi="Times New Roman"/>
          <w:lang w:val="en-GB"/>
        </w:rPr>
        <w:t xml:space="preserve"> (2011). I</w:t>
      </w:r>
      <w:r>
        <w:rPr>
          <w:rFonts w:ascii="Times New Roman" w:hAnsi="Times New Roman"/>
          <w:color w:val="222222"/>
          <w:lang w:val="en-GB"/>
        </w:rPr>
        <w:t>nstead of using presence-absence data, we</w:t>
      </w:r>
      <w:r>
        <w:rPr>
          <w:rFonts w:ascii="Times New Roman" w:hAnsi="Times New Roman"/>
          <w:lang w:val="en-GB"/>
        </w:rPr>
        <w:t xml:space="preserve"> adapted the procedure used by Stegen et al. (2013) and later by </w:t>
      </w:r>
      <w:r>
        <w:rPr>
          <w:rFonts w:ascii="Times New Roman" w:hAnsi="Times New Roman"/>
          <w:b w:val="false"/>
          <w:bCs w:val="false"/>
          <w:lang w:val="en-GB"/>
        </w:rPr>
        <w:t xml:space="preserve">Alberti, Bakker, van Klink, Olff, and Smit </w:t>
      </w:r>
      <w:r>
        <w:rPr>
          <w:rFonts w:ascii="Times New Roman" w:hAnsi="Times New Roman"/>
          <w:lang w:val="en-GB"/>
        </w:rPr>
        <w:t xml:space="preserve">(2017) based on species’ biomass. We performed separate randomizations for each of the five control and treatment combinations (i.e. C vs. F, C vs. I, C vs. P, C vs. H1, C vs. H2), each comprising six control and six treatment plots. This way we ensured that the experimental treatment plots (30 plots vs. 6 control plots) were not over-represented in the procedure. We set several constraints to the random community assembly process for a single plot: (1) Number of species and total biomass for a given plot was restricted to its empirical values. (2) For each species its sampling probability was proportional to their occurrence frequencies among all 12 plots for a given control and treatment combination. To randomly assemble a community, we sampled units of biomass equal to 0.1 kg (instead of individuals). This value was based on the approximated weight of the smallest woody plant individual among all experimental plots. (3) Probability of increasing biomass of a given species in the community by one unit was proportional to the relative biomass of that species evaluated across all 12 plots, for a given control and treatment combination. We randomly assembled each pair of plots </w:t>
      </w:r>
      <w:r>
        <w:rPr>
          <w:rFonts w:ascii="Times New Roman" w:hAnsi="Times New Roman"/>
          <w:color w:val="222222"/>
          <w:lang w:val="en-GB"/>
        </w:rPr>
        <w:t xml:space="preserve">999 times. During each iteration we quantified compositional turnover using Bray-Curtis (BC) dissimilarity, calculated with the </w:t>
      </w:r>
      <w:r>
        <w:rPr>
          <w:rFonts w:ascii="Times New Roman" w:hAnsi="Times New Roman"/>
          <w:i/>
          <w:iCs/>
          <w:color w:val="222222"/>
          <w:lang w:val="en-GB"/>
        </w:rPr>
        <w:t>vegdist</w:t>
      </w:r>
      <w:r>
        <w:rPr>
          <w:rFonts w:ascii="Times New Roman" w:hAnsi="Times New Roman"/>
          <w:color w:val="222222"/>
          <w:lang w:val="en-GB"/>
        </w:rPr>
        <w:t xml:space="preserve"> function from the </w:t>
      </w:r>
      <w:r>
        <w:rPr>
          <w:rFonts w:ascii="Times New Roman" w:hAnsi="Times New Roman"/>
          <w:i/>
          <w:iCs/>
          <w:color w:val="222222"/>
          <w:lang w:val="en-GB"/>
        </w:rPr>
        <w:t>vegan</w:t>
      </w:r>
      <w:r>
        <w:rPr>
          <w:rFonts w:ascii="Times New Roman" w:hAnsi="Times New Roman"/>
          <w:color w:val="222222"/>
          <w:lang w:val="en-GB"/>
        </w:rPr>
        <w:t xml:space="preserve"> package. These randomized BC values were then compared to the empirically observed dissimilarity values and we recorded the proportion of iterations where the BC values were smaller or equal to the comparative empirical value. To obtain the Raup-Crick (RC) index, which is constrained between -1 one 1, we subtracted 0.5 and multiplied this difference by two. The RC index can be used to measure the importance of deterministic processes during community assembly. RC values close to -1 indicate that communities converge deterministically, resulting in a higher than random chance of observing more similar plant community composition. In contrast, RC values approaching 1 suggest that different communities diverge deterministically during the assembly process, resulting in a higher chance of observing more dissimilar plant community composition. Following the procedure developed by </w:t>
      </w:r>
      <w:r>
        <w:rPr>
          <w:rFonts w:ascii="Times New Roman" w:hAnsi="Times New Roman"/>
          <w:b w:val="false"/>
          <w:bCs w:val="false"/>
          <w:color w:val="222222"/>
          <w:lang w:val="en-GB"/>
        </w:rPr>
        <w:t>Alberti, Bakker, van Klink, Olff, and Smit</w:t>
      </w:r>
      <w:r>
        <w:rPr>
          <w:rFonts w:ascii="Times New Roman" w:hAnsi="Times New Roman"/>
          <w:color w:val="222222"/>
          <w:lang w:val="en-GB"/>
        </w:rPr>
        <w:t xml:space="preserve"> (2017), we tested treatment effects on community assembly processes using linear mixed models. RC values for pairwise comparisons of plots within the treatment (five comparisons for each treatment, i.e. plots 1 vs. 2, 1 vs. 3, 1 vs. 4, 1 vs. 5, 1 vs. 6) was the chosen response variable. Models were built using the </w:t>
      </w:r>
      <w:r>
        <w:rPr>
          <w:rFonts w:ascii="Times New Roman" w:hAnsi="Times New Roman"/>
          <w:i/>
          <w:iCs/>
          <w:color w:val="222222"/>
          <w:lang w:val="en-GB"/>
        </w:rPr>
        <w:t>lmer</w:t>
      </w:r>
      <w:r>
        <w:rPr>
          <w:rFonts w:ascii="Times New Roman" w:hAnsi="Times New Roman"/>
          <w:color w:val="222222"/>
          <w:lang w:val="en-GB"/>
        </w:rPr>
        <w:t xml:space="preserve"> function with treatment as a fixed factor and block as a random factor. We used likelihood-ratios to test any significant differences between the control and treatment plots.</w:t>
      </w:r>
      <w:r>
        <w:br w:type="page"/>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re-growth, plant community richness across all experimental plots amounted to 96 species (Supporting Information, Table S1), including 40 woody species. The mean biomass per plot was 82.156 kg (95% CI</w:t>
      </w:r>
      <w:bookmarkStart w:id="6" w:name="rstudio_console_output"/>
      <w:bookmarkEnd w:id="6"/>
      <w:r>
        <w:rPr>
          <w:rFonts w:ascii="Times New Roman" w:hAnsi="Times New Roman"/>
          <w:lang w:val="en-GB"/>
        </w:rPr>
        <w:t xml:space="preserve">: 46.815, </w:t>
      </w:r>
      <w:bookmarkStart w:id="7" w:name="rstudio_console_output1"/>
      <w:bookmarkEnd w:id="7"/>
      <w:r>
        <w:rPr>
          <w:rFonts w:ascii="Times New Roman" w:hAnsi="Times New Roman"/>
          <w:lang w:val="en-GB"/>
        </w:rPr>
        <w:t>144.175). One insecticide treated plot was overgro</w:t>
      </w:r>
      <w:bookmarkStart w:id="8" w:name="rstudio_console_output6"/>
      <w:bookmarkEnd w:id="8"/>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which made up 72% of the total biomass of the plot. Presence of this species in such abundance arrested succession in that plot, therefore we decided not to consider it in further analyses.</w:t>
      </w:r>
    </w:p>
    <w:p>
      <w:pPr>
        <w:pStyle w:val="TextBody"/>
        <w:rPr/>
      </w:pPr>
      <w:r>
        <w:rPr>
          <w:rFonts w:ascii="Times New Roman" w:hAnsi="Times New Roman"/>
          <w:lang w:val="en-GB"/>
        </w:rPr>
        <w:t>High herbivory increase (H2) was the only treatment significantly decreasing plant biomass (Fig. 1), both in the whole community and when considering woody plants only (t-value = -3.594, P = 0.001 and t-value = -</w:t>
      </w:r>
      <w:bookmarkStart w:id="9" w:name="rstudio_console_output8"/>
      <w:bookmarkEnd w:id="9"/>
      <w:r>
        <w:rPr>
          <w:rFonts w:ascii="Times New Roman" w:hAnsi="Times New Roman"/>
          <w:lang w:val="en-GB"/>
        </w:rPr>
        <w:t>3.576, P = 0.001, respectively). This treatment also significantly reduced the number of stems per plot (t-value = -6.707, P &lt; 0.001). Woody plant density was also lower in the fungicide (F) treated plots (z-value = -2.507, P = 0.012). Insect removal (I) caused a decrease in diversity of the whole plant community, measured by Shannon’s H’ index (</w:t>
      </w:r>
      <w:bookmarkStart w:id="10" w:name="rstudio_console_output5"/>
      <w:bookmarkEnd w:id="10"/>
      <w:r>
        <w:rPr>
          <w:rFonts w:ascii="Times New Roman" w:hAnsi="Times New Roman"/>
          <w:lang w:val="en-GB"/>
        </w:rPr>
        <w:t>t-value = -2.291   p = 0.031). A similar pattern was shown for Simpson’s diversity. Additionally, insecticide caused an increase in LDMC (Fig. 2, t-value = 2.228, p = 0.035) and marginally significant decrease in SLA (t-value = -1.991, p = 0.058). Similar patterns were observed in woody plant communities, but only for LDMC</w:t>
      </w:r>
      <w:bookmarkStart w:id="11" w:name="rstudio_console_output14"/>
      <w:bookmarkEnd w:id="11"/>
      <w:r>
        <w:rPr>
          <w:rFonts w:ascii="Times New Roman" w:hAnsi="Times New Roman"/>
          <w:lang w:val="en-GB"/>
        </w:rPr>
        <w:t xml:space="preserve"> (t-value = 2.071, p = 0.049). None of the treatments significantly affected the evenness or species richness of our experimental communities.</w:t>
      </w:r>
    </w:p>
    <w:p>
      <w:pPr>
        <w:pStyle w:val="TextBody"/>
        <w:rPr/>
      </w:pPr>
      <w:r>
        <w:rPr>
          <w:rFonts w:ascii="Times New Roman" w:hAnsi="Times New Roman"/>
          <w:lang w:val="en-GB"/>
        </w:rPr>
        <w:t xml:space="preserve">Community composition was highly variable between gardens, mainly due to high species turnover rates, not merely changes in their dominance (Supporting Information, Fig. S3). Species composition was significantly altered only by the insecticide treatment (I) (permutation test Fig 3, F = </w:t>
      </w:r>
      <w:r>
        <w:rPr/>
        <w:t xml:space="preserve">3.135  p = 0.019), </w:t>
      </w:r>
      <w:r>
        <w:rPr>
          <w:rFonts w:ascii="Times New Roman" w:hAnsi="Times New Roman"/>
          <w:lang w:val="en-GB"/>
        </w:rPr>
        <w:t>resulting in shifts in the dominance structure in comparison with the control (Fig. 3). The first ordination axis explained 19.55 % of variation in community composition. Similar effects were present when we considered only woody plant communities (permutation test</w:t>
      </w:r>
      <w:bookmarkStart w:id="12" w:name="rstudio_console_output4"/>
      <w:bookmarkEnd w:id="12"/>
      <w:r>
        <w:rPr>
          <w:rFonts w:ascii="Times New Roman" w:hAnsi="Times New Roman"/>
          <w:lang w:val="en-GB"/>
        </w:rPr>
        <w:t xml:space="preserve">, F = 2.6154, p = 0.05, not shown in the figure). Except for the marginally significance of high herbivory plots (H2), community composition in other treatments didn’t show consistent and predictable patterns. Only a few species were present both in control and treatment plots, allowing comparison of their changes in relative abundance (Supporting Information, Fig. S4). Shifts in dominance structure in the insecticide treated plots were mainly caused by a consistent increase in relative abundance of one of the woody plant dominants: </w:t>
      </w:r>
      <w:r>
        <w:rPr>
          <w:rFonts w:ascii="Times New Roman" w:hAnsi="Times New Roman"/>
          <w:i/>
          <w:iCs/>
          <w:lang w:val="en-GB"/>
        </w:rPr>
        <w:t>Pipturus argenteu</w:t>
      </w:r>
      <w:bookmarkStart w:id="13" w:name="rstudio_console_output3"/>
      <w:bookmarkEnd w:id="13"/>
      <w:r>
        <w:rPr>
          <w:rFonts w:ascii="Times New Roman" w:hAnsi="Times New Roman"/>
          <w:i/>
          <w:iCs/>
          <w:lang w:val="en-GB"/>
        </w:rPr>
        <w:t xml:space="preserve">s </w:t>
      </w:r>
      <w:r>
        <w:rPr>
          <w:rFonts w:ascii="Times New Roman" w:hAnsi="Times New Roman"/>
          <w:lang w:val="en-GB"/>
        </w:rPr>
        <w:t>(z-value = 2.427, p = 0.015)</w:t>
      </w:r>
      <w:r>
        <w:rPr>
          <w:rFonts w:ascii="Times New Roman" w:hAnsi="Times New Roman"/>
          <w:i/>
          <w:iCs/>
          <w:lang w:val="en-GB"/>
        </w:rPr>
        <w:t xml:space="preserve">. </w:t>
      </w:r>
      <w:r>
        <w:rPr>
          <w:rFonts w:ascii="Times New Roman" w:hAnsi="Times New Roman"/>
          <w:lang w:val="en-GB"/>
        </w:rPr>
        <w:t xml:space="preserve">This pattern coincided with decreased dominance of </w:t>
      </w:r>
      <w:r>
        <w:rPr>
          <w:rFonts w:ascii="Times New Roman" w:hAnsi="Times New Roman"/>
          <w:i/>
          <w:iCs/>
          <w:lang w:val="en-GB"/>
        </w:rPr>
        <w:t>Mikania micranth</w:t>
      </w:r>
      <w:bookmarkStart w:id="14" w:name="rstudio_console_output7"/>
      <w:bookmarkEnd w:id="14"/>
      <w:r>
        <w:rPr>
          <w:rFonts w:ascii="Times New Roman" w:hAnsi="Times New Roman"/>
          <w:i/>
          <w:iCs/>
          <w:lang w:val="en-GB"/>
        </w:rPr>
        <w:t>a</w:t>
      </w:r>
      <w:r>
        <w:rPr>
          <w:rFonts w:ascii="Times New Roman" w:hAnsi="Times New Roman"/>
          <w:lang w:val="en-GB"/>
        </w:rPr>
        <w:t xml:space="preserve"> (z-value = -2.060, p = 0.039) and </w:t>
      </w:r>
      <w:r>
        <w:rPr>
          <w:rFonts w:ascii="Times New Roman" w:hAnsi="Times New Roman"/>
          <w:i/>
          <w:iCs/>
          <w:lang w:val="en-GB"/>
        </w:rPr>
        <w:t>Melanolepis multiglandulos</w:t>
      </w:r>
      <w:bookmarkStart w:id="15" w:name="rstudio_console_output9"/>
      <w:bookmarkEnd w:id="15"/>
      <w:r>
        <w:rPr>
          <w:rFonts w:ascii="Times New Roman" w:hAnsi="Times New Roman"/>
          <w:i/>
          <w:iCs/>
          <w:lang w:val="en-GB"/>
        </w:rPr>
        <w:t xml:space="preserve">a </w:t>
      </w:r>
      <w:r>
        <w:rPr>
          <w:rFonts w:ascii="Times New Roman" w:hAnsi="Times New Roman"/>
          <w:lang w:val="en-GB"/>
        </w:rPr>
        <w:t xml:space="preserve">(z-value = -2.804, p = 0.005). In these three species, there were no significant differences in leaf area loss due to herbivory (Supporting Information, Fig. S5). However, they differed significantly in their SLA and LDMC values, with </w:t>
      </w:r>
      <w:r>
        <w:rPr>
          <w:rFonts w:ascii="Times New Roman" w:hAnsi="Times New Roman"/>
          <w:i/>
          <w:iCs/>
          <w:lang w:val="en-GB"/>
        </w:rPr>
        <w:t>P. argenteus</w:t>
      </w:r>
      <w:r>
        <w:rPr>
          <w:rFonts w:ascii="Times New Roman" w:hAnsi="Times New Roman"/>
          <w:lang w:val="en-GB"/>
        </w:rPr>
        <w:t xml:space="preserve"> having higher SLA and lower LDMC value than </w:t>
      </w:r>
      <w:r>
        <w:rPr>
          <w:rFonts w:ascii="Times New Roman" w:hAnsi="Times New Roman"/>
          <w:i/>
          <w:iCs/>
          <w:lang w:val="en-GB"/>
        </w:rPr>
        <w:t>M.micrantha</w:t>
      </w:r>
      <w:r>
        <w:rPr>
          <w:rFonts w:ascii="Times New Roman" w:hAnsi="Times New Roman"/>
          <w:lang w:val="en-GB"/>
        </w:rPr>
        <w:t xml:space="preserve"> and </w:t>
      </w:r>
      <w:r>
        <w:rPr>
          <w:rFonts w:ascii="Times New Roman" w:hAnsi="Times New Roman"/>
          <w:i/>
          <w:iCs/>
          <w:lang w:val="en-GB"/>
        </w:rPr>
        <w:t>M. multiglandulosa</w:t>
      </w:r>
      <w:r>
        <w:rPr>
          <w:rFonts w:ascii="Times New Roman" w:hAnsi="Times New Roman"/>
          <w:lang w:val="en-GB"/>
        </w:rPr>
        <w:t xml:space="preserve"> .</w:t>
      </w:r>
    </w:p>
    <w:p>
      <w:pPr>
        <w:pStyle w:val="TextBody"/>
        <w:rPr/>
      </w:pPr>
      <w:r>
        <w:rPr>
          <w:rFonts w:ascii="Times New Roman" w:hAnsi="Times New Roman"/>
          <w:lang w:val="en-GB"/>
        </w:rPr>
        <w:t>The RC index values among the control plots showed highly variable, but non-random community composition (Fig. 4). I</w:t>
      </w:r>
      <w:r>
        <w:rPr>
          <w:rFonts w:ascii="Times New Roman" w:hAnsi="Times New Roman"/>
          <w:color w:val="000000"/>
          <w:lang w:val="en-GB"/>
        </w:rPr>
        <w:t>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4.272, p = 0.039) and predator exclusion (</w:t>
      </w:r>
      <w:bookmarkStart w:id="16" w:name="rstudio_console_output2"/>
      <w:bookmarkEnd w:id="16"/>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5.135, P = </w:t>
      </w:r>
      <w:bookmarkStart w:id="17" w:name="rstudio_console_output11"/>
      <w:bookmarkEnd w:id="17"/>
      <w:r>
        <w:rPr>
          <w:rFonts w:ascii="Times New Roman" w:hAnsi="Times New Roman"/>
          <w:color w:val="000000"/>
          <w:lang w:val="en-GB"/>
        </w:rPr>
        <w:t>0.023) significantly decreased RC values, and increased randomness of woody plants community assembly processes (mean RC index values closer to zero).</w:t>
      </w:r>
    </w:p>
    <w:p>
      <w:pPr>
        <w:pStyle w:val="TextBody"/>
        <w:rPr>
          <w:b/>
          <w:b/>
          <w:bCs/>
        </w:rPr>
      </w:pPr>
      <w:r>
        <w:rPr>
          <w:b/>
          <w:bCs/>
        </w:rPr>
        <w:t>Discussion</w:t>
      </w:r>
    </w:p>
    <w:p>
      <w:pPr>
        <w:pStyle w:val="TextBody"/>
        <w:rPr/>
      </w:pPr>
      <w:r>
        <w:rPr>
          <w:rFonts w:ascii="Times New Roman" w:hAnsi="Times New Roman"/>
          <w:lang w:val="en-GB"/>
        </w:rPr>
        <w:t>Our study showed that invertebrate herbivores, their predators (birds, bats and ants), and fungal pathogens influence early successional rainforest vegetation in lowland Papua New Guinea. Our hypothesis that herbivorous insects control biomass, species richness, and diversity of the plant community was partially supported by our results. Similar to results from primary forest (Bagchi et al. 2014) our experimental a</w:t>
      </w:r>
      <w:r>
        <w:rPr>
          <w:rFonts w:ascii="Times New Roman" w:hAnsi="Times New Roman"/>
          <w:color w:val="111111"/>
          <w:lang w:val="en-GB"/>
        </w:rPr>
        <w:t>pplication of i</w:t>
      </w:r>
      <w:r>
        <w:rPr>
          <w:rFonts w:ascii="Times New Roman" w:hAnsi="Times New Roman"/>
          <w:lang w:val="en-GB"/>
        </w:rPr>
        <w:t xml:space="preserve">nsecticide simplified significantly the plant community composition. Kempel et al. (2015) argued that these changes can be driven by the preferences of invertebrate herbivores. Looking at the damage caused by herbivores for the species driving compositional shifts in our experimental communities provided some support for this explanation. In addition, previous studies showed that herbivorous insects usually prefer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diversity (but not richness and evenness) of our experimental plant communities, which is in partial agreement with the majority of large herbivore exclusion experiments from temperate grasslands (Stein et al., 2010; Mortensen et al., 2018; Jia et al., 2018). The mechanism responsible for these patterns has been proposed by </w:t>
      </w:r>
      <w:r>
        <w:rPr>
          <w:rFonts w:ascii="Times New Roman" w:hAnsi="Times New Roman"/>
          <w:b w:val="false"/>
          <w:bCs w:val="false"/>
          <w:lang w:val="en-GB"/>
        </w:rPr>
        <w:t>Agrawal, Hastings, Johnson, Maron, and Salminen</w:t>
      </w:r>
      <w:r>
        <w:rPr>
          <w:rFonts w:ascii="Times New Roman" w:hAnsi="Times New Roman"/>
          <w:color w:val="111111"/>
          <w:lang w:val="en-GB"/>
        </w:rPr>
        <w:t xml:space="preserve"> (2012), who showed that when herbivores were removed, plant competition intensified and led to higher dominance of a few competitively superior plant species. Communities driven by strong inter-specific competition usually have low SLA and high LDMC (Kunstler et al., 2016). In our experiment, similar trait patterns suggest that diversity in insecticide treated plots could be affected by intensified inter-specific competition. </w:t>
      </w:r>
      <w:r>
        <w:rPr>
          <w:rFonts w:ascii="Times New Roman" w:hAnsi="Times New Roman"/>
          <w:lang w:val="en-GB"/>
        </w:rPr>
        <w:t xml:space="preserve">Somewhat unexpectedly, herbivore removal showed no effect on stem density or biomass. Herbivore removal experiments in the tropics usually result in higher biomass and plant abundance (Jia et al., 2018). However, successional theory predicts no effect of herbivores on the biomass of pioneer stages if </w:t>
      </w:r>
      <w:r>
        <w:rPr>
          <w:rFonts w:ascii="Times New Roman" w:hAnsi="Times New Roman"/>
          <w:color w:val="111111"/>
          <w:lang w:val="en-GB"/>
        </w:rPr>
        <w:t>plants maximize their growth in competition for light and, in accordance with the resource availability hypothesis (</w:t>
      </w:r>
      <w:r>
        <w:rPr>
          <w:rFonts w:ascii="Times New Roman" w:hAnsi="Times New Roman"/>
          <w:b w:val="false"/>
          <w:bCs w:val="false"/>
          <w:color w:val="111111"/>
          <w:lang w:val="en-GB"/>
        </w:rPr>
        <w:t>Coley, Bryant, &amp; Chapin</w:t>
      </w:r>
      <w:r>
        <w:rPr>
          <w:rFonts w:ascii="Times New Roman" w:hAnsi="Times New Roman"/>
          <w:color w:val="111111"/>
          <w:lang w:val="en-GB"/>
        </w:rPr>
        <w:t xml:space="preserve"> 1985), they can compensate for biomass loss caused by herbivores (Maron et al. 2014). </w:t>
      </w:r>
    </w:p>
    <w:p>
      <w:pPr>
        <w:pStyle w:val="TextBody"/>
        <w:rPr/>
      </w:pPr>
      <w:r>
        <w:rPr>
          <w:rFonts w:ascii="Times New Roman" w:hAnsi="Times New Roman"/>
          <w:color w:val="111111"/>
          <w:lang w:val="en-GB"/>
        </w:rPr>
        <w:t>Artificially increased herbivory predictably led to lower biomass and lower stem density, although only for the high level of herbivore additions. Interestingly, there were no significant differences in species richness, diversity, and evenness in these H2 plots. This lack of impact</w:t>
      </w:r>
      <w:r>
        <w:rPr>
          <w:rFonts w:ascii="Times New Roman" w:hAnsi="Times New Roman"/>
          <w:lang w:val="en-GB"/>
        </w:rPr>
        <w:t xml:space="preserve"> may confirm conclusions based on simple simulations performed by Freckleton and Lewis (2006), which showed that density dependence caused by generalist natural enemies (acting through total community density, as opposed to individual species density), would not affect richness, diversity, and evenness. </w:t>
      </w:r>
      <w:r>
        <w:rPr>
          <w:rFonts w:ascii="Times New Roman" w:hAnsi="Times New Roman"/>
          <w:color w:val="111111"/>
          <w:lang w:val="en-GB"/>
        </w:rPr>
        <w:t>We show here that this might be the case in early successional communities in the tropics (at least for insect herbivores).</w:t>
      </w:r>
    </w:p>
    <w:p>
      <w:pPr>
        <w:pStyle w:val="TextBody"/>
        <w:rPr/>
      </w:pPr>
      <w:r>
        <w:rPr>
          <w:rFonts w:ascii="Times New Roman" w:hAnsi="Times New Roman"/>
          <w:lang w:val="en-GB"/>
        </w:rPr>
        <w:t>As discussed in a review by Mooney et al. (2010), effects of vertebrate predators on plant communities are stronger whenever predaceous arthropods are abundant and there is strong intra-guild predation.</w:t>
      </w:r>
      <w:r>
        <w:rPr>
          <w:rFonts w:ascii="Times New Roman" w:hAnsi="Times New Roman"/>
          <w:color w:val="111111"/>
          <w:lang w:val="en-GB"/>
        </w:rPr>
        <w:t xml:space="preserve"> </w:t>
      </w:r>
      <w:r>
        <w:rPr>
          <w:rFonts w:ascii="Times New Roman" w:hAnsi="Times New Roman"/>
          <w:lang w:val="en-GB"/>
        </w:rPr>
        <w:t xml:space="preserve">However, the decrease in plant biomass was only marginally significant and not detected in the woody plant community. The lack of effects on plant biomass caused by focal predators partially reducing herbivores is not surprising considering that the complete removal of insect herbivores in the insecticide treatment did not have a significant effect. Another possible explanation is that the ability of pioneer trees to compensate for herbivory damage, as well as the high abundance of unpalatable species (e.g. </w:t>
      </w:r>
      <w:r>
        <w:rPr>
          <w:rFonts w:ascii="Times New Roman" w:hAnsi="Times New Roman"/>
          <w:i/>
          <w:iCs/>
          <w:lang w:val="en-GB"/>
        </w:rPr>
        <w:t>M. multiglandulosa</w:t>
      </w:r>
      <w:r>
        <w:rPr>
          <w:rFonts w:ascii="Times New Roman" w:hAnsi="Times New Roman"/>
          <w:lang w:val="en-GB"/>
        </w:rPr>
        <w:t xml:space="preserve">), may cause the biomass of experimental communities to not differ greatly from those in the control plots. Moreover, </w:t>
      </w:r>
      <w:r>
        <w:rPr>
          <w:rFonts w:ascii="Times New Roman" w:hAnsi="Times New Roman"/>
          <w:b w:val="false"/>
          <w:bCs w:val="false"/>
          <w:lang w:val="en-GB"/>
        </w:rPr>
        <w:t>Schmitz, Hambäck, and Beckerman</w:t>
      </w:r>
      <w:r>
        <w:rPr>
          <w:rFonts w:ascii="Times New Roman" w:hAnsi="Times New Roman"/>
          <w:lang w:val="en-GB"/>
        </w:rPr>
        <w:t xml:space="preserve"> (2000) argued that top-down effects of predators are more likely to be present in communities where plants have anti-herbivore defences. In our experiment, despite some level of variation in herbivore defences, these are not expected to be strong (</w:t>
      </w:r>
      <w:r>
        <w:rPr>
          <w:rFonts w:ascii="Times New Roman" w:hAnsi="Times New Roman"/>
          <w:b w:val="false"/>
          <w:bCs w:val="false"/>
          <w:color w:val="111111"/>
          <w:lang w:val="en-GB"/>
        </w:rPr>
        <w:t>Kardol, Bezemer, &amp; van der Putten</w:t>
      </w:r>
      <w:r>
        <w:rPr>
          <w:rFonts w:ascii="Times New Roman" w:hAnsi="Times New Roman"/>
          <w:color w:val="111111"/>
          <w:lang w:val="en-GB"/>
        </w:rPr>
        <w:t xml:space="preserve"> 2006; </w:t>
      </w:r>
      <w:r>
        <w:rPr>
          <w:rFonts w:ascii="Times New Roman" w:hAnsi="Times New Roman"/>
          <w:b w:val="false"/>
          <w:bCs w:val="false"/>
          <w:color w:val="111111"/>
          <w:lang w:val="en-GB"/>
        </w:rPr>
        <w:t>Lasky, Uriarte, Boukili, &amp; Chazdon,</w:t>
      </w:r>
      <w:r>
        <w:rPr>
          <w:rFonts w:ascii="Times New Roman" w:hAnsi="Times New Roman"/>
          <w:lang w:val="en-GB"/>
        </w:rPr>
        <w:t xml:space="preserve"> 2014).</w:t>
      </w:r>
    </w:p>
    <w:p>
      <w:pPr>
        <w:pStyle w:val="TextBody"/>
        <w:rPr/>
      </w:pPr>
      <w:r>
        <w:rPr>
          <w:rFonts w:ascii="Times New Roman" w:hAnsi="Times New Roman"/>
          <w:lang w:val="en-GB"/>
        </w:rPr>
        <w:t xml:space="preserve">We found no effect of pathogenic fungi removal on community composition, which supports our prediction that their impacts would be reduced in early-stage succession. </w:t>
      </w:r>
      <w:r>
        <w:rPr>
          <w:rFonts w:ascii="Times New Roman" w:hAnsi="Times New Roman"/>
          <w:color w:val="111111"/>
          <w:lang w:val="en-GB"/>
        </w:rPr>
        <w:t>Fungal pathogens can drive species turnover through the accumulation of host-specific pathogens in time (</w:t>
      </w:r>
      <w:r>
        <w:rPr>
          <w:rFonts w:ascii="Times New Roman" w:hAnsi="Times New Roman"/>
          <w:b w:val="false"/>
          <w:bCs w:val="false"/>
          <w:color w:val="111111"/>
          <w:lang w:val="en-GB"/>
        </w:rPr>
        <w:t>Kardol, Bezemer, &amp; van der Putten</w:t>
      </w:r>
      <w:r>
        <w:rPr>
          <w:rFonts w:ascii="Times New Roman" w:hAnsi="Times New Roman"/>
          <w:color w:val="111111"/>
          <w:lang w:val="en-GB"/>
        </w:rPr>
        <w:t xml:space="preserve"> 2006). For example, Mangan et al. (2010) showed that old-growth forest dynamics are driven by plant-soil feedbacks mediated by pathogenic fungi. The importance of fungal pathogens could, therefore, be expected to increase later in succession and to correspond with increasing density of mature leaves and changes in environmental conditions facilitating fungal infections (</w:t>
      </w:r>
      <w:r>
        <w:rPr>
          <w:rFonts w:ascii="Times New Roman" w:hAnsi="Times New Roman"/>
          <w:b w:val="false"/>
          <w:bCs w:val="false"/>
          <w:color w:val="111111"/>
          <w:lang w:val="en-GB"/>
        </w:rPr>
        <w:t>Marquis, Diniz, &amp; Morais</w:t>
      </w:r>
      <w:r>
        <w:rPr>
          <w:rFonts w:ascii="Times New Roman" w:hAnsi="Times New Roman"/>
          <w:color w:val="111111"/>
          <w:lang w:val="en-GB"/>
        </w:rPr>
        <w:t xml:space="preserve"> 2001). The effect of pathogenic fungi on community richness might not be noticeable in situations where dominant pathogens are generalists (Freckleton &amp; Lewis, 2006). This is a safe assumption for early successional plant communities, as host specialists usually need more time to establish their viable populations within a community (Koziol &amp; Bever, 2016). Moreover, fungicide application decreased the </w:t>
      </w:r>
      <w:r>
        <w:rPr>
          <w:rFonts w:ascii="Times New Roman" w:hAnsi="Times New Roman"/>
          <w:lang w:val="en-GB"/>
        </w:rPr>
        <w:t>number of stems per plot, exactly as generalist natural enemies did in predator exclusion (P) and increased herbivory (H2) treatments.</w:t>
      </w:r>
    </w:p>
    <w:p>
      <w:pPr>
        <w:pStyle w:val="TextBody"/>
        <w:rPr/>
      </w:pPr>
      <w:r>
        <w:rPr>
          <w:rFonts w:ascii="Times New Roman" w:hAnsi="Times New Roman"/>
          <w:color w:val="111111"/>
          <w:lang w:val="en-GB"/>
        </w:rPr>
        <w:t xml:space="preserve">RC values at the control plots revealed that species composition of the communities showed higher than random variability between sites (divergent but deterministic community composition). This result confirms predictions that highly productive plant communities growing in nutrient rich environments would show deterministic but divergent assembly processes due to priority effects (Chase &amp; Liebold, 2002; </w:t>
      </w:r>
      <w:r>
        <w:rPr>
          <w:rFonts w:ascii="Times New Roman" w:hAnsi="Times New Roman"/>
          <w:b w:val="false"/>
          <w:bCs w:val="false"/>
          <w:color w:val="111111"/>
          <w:lang w:val="en-GB"/>
        </w:rPr>
        <w:t>Chalcraft, Williams, Smith, &amp; Willig</w:t>
      </w:r>
      <w:r>
        <w:rPr>
          <w:rFonts w:ascii="Times New Roman" w:hAnsi="Times New Roman"/>
          <w:color w:val="111111"/>
          <w:lang w:val="en-GB"/>
        </w:rPr>
        <w:t>, 2004; Chase, 2010). The RC values for communities without herbivores and with predators excluded were closer to zero, similar to herbivore exclosures from grassland communities (</w:t>
      </w:r>
      <w:r>
        <w:rPr>
          <w:rFonts w:ascii="Times New Roman" w:hAnsi="Times New Roman"/>
          <w:b w:val="false"/>
          <w:bCs w:val="false"/>
          <w:color w:val="111111"/>
          <w:lang w:val="en-GB"/>
        </w:rPr>
        <w:t xml:space="preserve">Alberti, Bakker, van Klink, Olff, and Smit </w:t>
      </w:r>
      <w:r>
        <w:rPr>
          <w:rFonts w:ascii="Times New Roman" w:hAnsi="Times New Roman"/>
          <w:color w:val="111111"/>
          <w:lang w:val="en-GB"/>
        </w:rPr>
        <w:t>2017). M</w:t>
      </w:r>
      <w:r>
        <w:rPr>
          <w:rFonts w:ascii="Times New Roman" w:hAnsi="Times New Roman"/>
          <w:lang w:val="en-GB"/>
        </w:rPr>
        <w:t xml:space="preserve">ore random community assembly with suppressed herbivores might be caused by random colonization of the plots by plant species from the forest matrix. For predator exclusion </w:t>
      </w:r>
      <w:r>
        <w:rPr>
          <w:rFonts w:ascii="Times New Roman" w:hAnsi="Times New Roman"/>
          <w:b w:val="false"/>
          <w:bCs w:val="false"/>
          <w:lang w:val="en-GB"/>
        </w:rPr>
        <w:t>Chase, Biro, Ryberg, and Smith</w:t>
      </w:r>
      <w:r>
        <w:rPr>
          <w:rFonts w:ascii="Times New Roman" w:hAnsi="Times New Roman"/>
          <w:lang w:val="en-GB"/>
        </w:rPr>
        <w:t xml:space="preserve"> (2009) argued that abundant consumers (in our case herbivorous insects) can increase stochasticity during the community assembly process by decreasing the number of individuals in the community, and increase chances of local extinction. We found partial support for this hypothesis in our data, where we observed lower numbers of stems in plots without predators. Fungicide treatment did not increase randomness of the community assembly process despite their negative effect on stem density. Mordecai (2011) presented two hypotheses for pathogenic fungi diversity-promoting mechanisms, which would produce similar patterns to the ones observed in our data: (1) reduction of fitness differences between pioneer trees and (2) changing the competitive structure between species. The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or neutrally affected by fungal infections. Additionally, fungal infection can change herbivore preferences and performance on infected plants (</w:t>
      </w:r>
      <w:r>
        <w:rPr>
          <w:rFonts w:ascii="Times New Roman" w:hAnsi="Times New Roman"/>
          <w:b w:val="false"/>
          <w:bCs w:val="false"/>
          <w:lang w:val="en-GB"/>
        </w:rPr>
        <w:t xml:space="preserve">Fernandez‐Conradi, Jactel, Robin, Tack, &amp; Castagneyrol </w:t>
      </w:r>
      <w:r>
        <w:rPr>
          <w:rFonts w:ascii="Times New Roman" w:hAnsi="Times New Roman"/>
          <w:lang w:val="en-GB"/>
        </w:rPr>
        <w:t>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define and execute treatments, we identified a few pitfalls in our methods. During evaluation of the effectiveness of the ant eradication treatment, we didn’t find significant decreases in ant abundance on the ground. However, harvested vegetation generally had a low abundance of small sized, non-predatory canopy ants, suggesting the ant eradication was successful for aggressive and mobile dominants most likely to attend tuna baits. Fungicide used in our experiment can potentially accumulate in the soil, which at high concentrations can suppress ammonification and nitrification processes (</w:t>
      </w:r>
      <w:r>
        <w:rPr>
          <w:rFonts w:ascii="Times New Roman" w:hAnsi="Times New Roman"/>
          <w:b w:val="false"/>
          <w:bCs w:val="false"/>
          <w:lang w:val="en-GB"/>
        </w:rPr>
        <w:t xml:space="preserve">Walia, Mehta, Guleria, Chauhan, &amp; Shirkot </w:t>
      </w:r>
      <w:r>
        <w:rPr>
          <w:rFonts w:ascii="Times New Roman" w:hAnsi="Times New Roman"/>
          <w:lang w:val="en-GB"/>
        </w:rPr>
        <w:t>2014). However, we expected that these undesirable effects would be minimized due to the short half-life times of mancozeb (Xu 2000) and easy biodegradability in tropical soil conditions (Racke et al. 1997). In addition to the predicted increase of arachnid abundance from natural enemy suppression, netting used for the exclosure constructions could potentially boost the abundance of web-building spiders. The number of blocks used for the experiments was limited by the number of suitable locations available and our ability to maintain and sample them. Therefore, some effects may not have been detected and increased sample size could result in higher statistical power of performed tests.</w:t>
      </w:r>
    </w:p>
    <w:p>
      <w:pPr>
        <w:pStyle w:val="Normal"/>
        <w:spacing w:lineRule="auto" w:line="480"/>
        <w:rPr/>
      </w:pPr>
      <w:r>
        <w:rPr>
          <w:rFonts w:ascii="Times New Roman" w:hAnsi="Times New Roman"/>
          <w:lang w:val="en-GB"/>
        </w:rPr>
        <w:t xml:space="preserve">Our results point to important roles of pathogenic fungi, predators, and herbivorous insects during initial successional processes which can shape future plant community composition. We identified potential factors that can decrease high unpredictability of successional trajectories found in empirical data. However, role of the dispersal limitation in shaping the composition of communities remains crucial. Our study suggests that plant-based food webs impact forest regeneration and that without them the strength of contingent effects during plant community assembly would increase due to intensified inter-specific competition of plants. We show that in the tropics herbivorous insects have the ability to change the competitive structure within regenerating communities, resulting in secondary effects on the community composition. The way plant species responses to biotic factors such as herbivores can be related to their functional traits. Importantly, we showed that pathogenic fungi, previously identified as important factor in shaping diversity of primary forests, have limited influence on the plant assembly process. However, we expect this could change later in succession. For </w:t>
      </w:r>
      <w:r>
        <w:rPr>
          <w:rFonts w:ascii="Times New Roman" w:hAnsi="Times New Roman"/>
          <w:color w:val="111111"/>
          <w:lang w:val="en-GB"/>
        </w:rPr>
        <w:t>deeper insights into the mechanisms of succession, information on seed rain and mortality of newly established seedlings would have to be collected. The next step forward would be to study the effects of biotic factors, such as pathogens, herbivores and predators, in combination, to identify possible synergic or antagonistic effects on plant composition and succession. Detailed demographic data for individual species combined with information on their competitive abilities, preferably tested in the g</w:t>
      </w:r>
      <w:bookmarkStart w:id="18" w:name="_GoBack"/>
      <w:bookmarkEnd w:id="18"/>
      <w:r>
        <w:rPr>
          <w:rFonts w:ascii="Times New Roman" w:hAnsi="Times New Roman"/>
          <w:color w:val="111111"/>
          <w:lang w:val="en-GB"/>
        </w:rPr>
        <w:t>reenhouse experiments, would allow for better understanding of the exact mechanisms of biotic control of successional communities. In future, disentangling the complex relationship between species functional traits and biotic factors could allow for a better understanding of how we can facilitate more effective regeneration of tropical forests.</w:t>
      </w:r>
    </w:p>
    <w:p>
      <w:pPr>
        <w:pStyle w:val="Normal"/>
        <w:spacing w:lineRule="auto" w:line="480"/>
        <w:rPr>
          <w:rFonts w:ascii="Times New Roman" w:hAnsi="Times New Roman"/>
          <w:color w:val="111111"/>
          <w:lang w:val="en-GB"/>
        </w:rPr>
      </w:pPr>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pPr>
      <w:r>
        <w:rPr>
          <w:rFonts w:ascii="Times New Roman" w:hAnsi="Times New Roman"/>
          <w:color w:val="111111"/>
          <w:lang w:val="en-GB"/>
        </w:rPr>
        <w:t>We would like to thank Tereza Holicova for processing leaf frames data, Jan Leps, Juan Alberti, Leonardo Re Jorge, Nick Pardikes, and Moria Robinson for useful discussion, Joel Brown for improving the manuscript, New Guinea Binatang Research Center staff in Papua New Guinea for all their support during field work. This article was funded by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r>
        <w:br w:type="page"/>
      </w:r>
    </w:p>
    <w:p>
      <w:pPr>
        <w:pStyle w:val="Normal"/>
        <w:spacing w:lineRule="auto" w:line="480"/>
        <w:rPr>
          <w:rFonts w:ascii="Times New Roman" w:hAnsi="Times New Roman"/>
          <w:b/>
          <w:b/>
          <w:bCs/>
          <w:color w:val="000000"/>
          <w:lang w:val="en-GB"/>
        </w:rPr>
      </w:pPr>
      <w:r>
        <w:rPr>
          <w:rFonts w:ascii="Times New Roman" w:hAnsi="Times New Roman"/>
          <w:b/>
          <w:bCs/>
          <w:color w:val="000000"/>
          <w:lang w:val="en-GB"/>
        </w:rPr>
        <w:t>Data accessibility</w:t>
      </w:r>
    </w:p>
    <w:p>
      <w:pPr>
        <w:pStyle w:val="Normal"/>
        <w:spacing w:lineRule="auto" w:line="480"/>
        <w:rPr/>
      </w:pPr>
      <w:bookmarkStart w:id="19" w:name="__DdeLink__1038_2907659651"/>
      <w:bookmarkEnd w:id="19"/>
      <w:r>
        <w:rPr>
          <w:rFonts w:ascii="Times New Roman" w:hAnsi="Times New Roman"/>
          <w:b w:val="false"/>
          <w:bCs w:val="false"/>
          <w:color w:val="000000"/>
          <w:lang w:val="en-GB"/>
        </w:rPr>
        <w:t xml:space="preserve">Datasets and R code for the analyses presented in the text are available </w:t>
      </w:r>
      <w:r>
        <w:rPr>
          <w:rFonts w:ascii="Times New Roman" w:hAnsi="Times New Roman"/>
          <w:b w:val="false"/>
          <w:bCs w:val="false"/>
          <w:color w:val="000000"/>
          <w:lang w:val="en-GB"/>
        </w:rPr>
        <w:t>i</w:t>
      </w:r>
      <w:r>
        <w:rPr>
          <w:rFonts w:ascii="Times New Roman" w:hAnsi="Times New Roman"/>
          <w:b w:val="false"/>
          <w:bCs w:val="false"/>
          <w:color w:val="000000"/>
          <w:lang w:val="en-GB"/>
        </w:rPr>
        <w:t xml:space="preserve">n </w:t>
      </w:r>
      <w:r>
        <w:rPr>
          <w:rFonts w:ascii="Times New Roman" w:hAnsi="Times New Roman"/>
          <w:b w:val="false"/>
          <w:bCs w:val="false"/>
          <w:color w:val="000000"/>
          <w:lang w:val="en-GB"/>
        </w:rPr>
        <w:t xml:space="preserve">public </w:t>
      </w:r>
      <w:r>
        <w:rPr>
          <w:rFonts w:ascii="Times New Roman" w:hAnsi="Times New Roman"/>
          <w:b w:val="false"/>
          <w:bCs w:val="false"/>
          <w:color w:val="000000"/>
          <w:lang w:val="en-GB"/>
        </w:rPr>
        <w:t xml:space="preserve">github repository: </w:t>
      </w:r>
      <w:hyperlink r:id="rId3">
        <w:r>
          <w:rPr>
            <w:rStyle w:val="InternetLink"/>
            <w:rFonts w:ascii="Times New Roman" w:hAnsi="Times New Roman"/>
            <w:b w:val="false"/>
            <w:bCs w:val="false"/>
            <w:color w:val="000000"/>
            <w:lang w:val="en-GB"/>
          </w:rPr>
          <w:t>https://github.com/szefer-piotr/garden_experiment</w:t>
        </w:r>
      </w:hyperlink>
    </w:p>
    <w:p>
      <w:pPr>
        <w:pStyle w:val="Normal"/>
        <w:spacing w:lineRule="auto" w:line="480"/>
        <w:rPr>
          <w:color w:val="000000"/>
        </w:rPr>
      </w:pPr>
      <w:r>
        <w:rPr>
          <w:color w:val="000000"/>
        </w:rPr>
      </w:r>
      <w:bookmarkStart w:id="20" w:name="__DdeLink__1038_29076596511"/>
      <w:bookmarkStart w:id="21" w:name="__DdeLink__1038_29076596511"/>
      <w:bookmarkEnd w:id="21"/>
    </w:p>
    <w:p>
      <w:pPr>
        <w:pStyle w:val="Normal"/>
        <w:spacing w:lineRule="auto" w:line="480"/>
        <w:rPr>
          <w:rFonts w:ascii="Times New Roman" w:hAnsi="Times New Roman"/>
          <w:b/>
          <w:b/>
          <w:bCs/>
          <w:lang w:val="en-GB"/>
        </w:rPr>
      </w:pPr>
      <w:r>
        <w:rPr>
          <w:rFonts w:ascii="Times New Roman" w:hAnsi="Times New Roman"/>
          <w:b/>
          <w:bCs/>
          <w:lang w:val="en-GB"/>
        </w:rPr>
        <w:t>References</w:t>
      </w:r>
    </w:p>
    <w:p>
      <w:pPr>
        <w:pStyle w:val="Normal"/>
        <w:bidi w:val="0"/>
        <w:spacing w:lineRule="auto" w:line="480"/>
        <w:jc w:val="left"/>
        <w:rPr/>
      </w:pPr>
      <w:r>
        <w:rPr>
          <w:rFonts w:ascii="Times New Roman" w:hAnsi="Times New Roman"/>
          <w:b w:val="false"/>
          <w:bCs w:val="false"/>
          <w:lang w:val="en-GB"/>
        </w:rPr>
        <w:t xml:space="preserve">Agrawal, A. A., Hastings, A. P., Johnson, M. T. J., Maron, J. L., &amp; Salminen, J.-P. (2012). Insect herbivores drive real-time ecological and evolutionary change in plant populations. </w:t>
      </w:r>
      <w:r>
        <w:rPr>
          <w:rFonts w:ascii="Times New Roman" w:hAnsi="Times New Roman"/>
          <w:b w:val="false"/>
          <w:bCs w:val="false"/>
          <w:i/>
          <w:lang w:val="en-GB"/>
        </w:rPr>
        <w:t>Science (New York, N.Y.)</w:t>
      </w:r>
      <w:r>
        <w:rPr>
          <w:rFonts w:ascii="Times New Roman" w:hAnsi="Times New Roman"/>
          <w:b w:val="false"/>
          <w:bCs w:val="false"/>
          <w:lang w:val="en-GB"/>
        </w:rPr>
        <w:t xml:space="preserve">, </w:t>
      </w:r>
      <w:r>
        <w:rPr>
          <w:rFonts w:ascii="Times New Roman" w:hAnsi="Times New Roman"/>
          <w:b w:val="false"/>
          <w:bCs w:val="false"/>
          <w:i/>
          <w:lang w:val="en-GB"/>
        </w:rPr>
        <w:t>338</w:t>
      </w:r>
      <w:r>
        <w:rPr>
          <w:rFonts w:ascii="Times New Roman" w:hAnsi="Times New Roman"/>
          <w:b w:val="false"/>
          <w:bCs w:val="false"/>
          <w:lang w:val="en-GB"/>
        </w:rPr>
        <w:t>(6103), 113–116. doi:</w:t>
      </w:r>
      <w:hyperlink r:id="rId4">
        <w:r>
          <w:rPr>
            <w:rStyle w:val="InternetLink"/>
            <w:rFonts w:ascii="Times New Roman" w:hAnsi="Times New Roman"/>
            <w:b w:val="false"/>
            <w:bCs w:val="false"/>
            <w:lang w:val="en-GB"/>
          </w:rPr>
          <w:t>10.1126/science.1225977</w:t>
        </w:r>
      </w:hyperlink>
    </w:p>
    <w:p>
      <w:pPr>
        <w:pStyle w:val="Normal"/>
        <w:bidi w:val="0"/>
        <w:spacing w:lineRule="auto" w:line="480"/>
        <w:jc w:val="left"/>
        <w:rPr/>
      </w:pPr>
      <w:r>
        <w:rPr>
          <w:b w:val="false"/>
          <w:bCs w:val="false"/>
        </w:rPr>
        <w:t xml:space="preserve">Alberti, J., Bakker, E. S., van Klink, R., Olff, H., &amp; Smit, C. (2017). Herbivore exclusion promotes a more stochastic plant community assembly in a natural grassland. </w:t>
      </w:r>
      <w:r>
        <w:rPr>
          <w:b w:val="false"/>
          <w:bCs w:val="false"/>
          <w:i/>
        </w:rPr>
        <w:t>Ecology</w:t>
      </w:r>
      <w:r>
        <w:rPr>
          <w:b w:val="false"/>
          <w:bCs w:val="false"/>
        </w:rPr>
        <w:t xml:space="preserve">, </w:t>
      </w:r>
      <w:r>
        <w:rPr>
          <w:b w:val="false"/>
          <w:bCs w:val="false"/>
          <w:i/>
        </w:rPr>
        <w:t>98</w:t>
      </w:r>
      <w:r>
        <w:rPr>
          <w:b w:val="false"/>
          <w:bCs w:val="false"/>
        </w:rPr>
        <w:t>(4), 961–970. doi:</w:t>
      </w:r>
      <w:hyperlink r:id="rId5">
        <w:r>
          <w:rPr>
            <w:rStyle w:val="InternetLink"/>
            <w:b w:val="false"/>
            <w:bCs w:val="false"/>
          </w:rPr>
          <w:t>10.1002/ecy.1741</w:t>
        </w:r>
      </w:hyperlink>
    </w:p>
    <w:p>
      <w:pPr>
        <w:pStyle w:val="Normal"/>
        <w:bidi w:val="0"/>
        <w:spacing w:lineRule="auto" w:line="480"/>
        <w:jc w:val="left"/>
        <w:rPr/>
      </w:pPr>
      <w:r>
        <w:rPr>
          <w:b w:val="false"/>
          <w:bCs w:val="false"/>
        </w:rPr>
        <w:t xml:space="preserve">Asefa, M., Cao, M., Zhang, G., Ci, X., Li, J., &amp; Yang, J. (2017). Environmental filtering structures tree functional traits combination and lineages across space in tropical tree assemblages. </w:t>
      </w:r>
      <w:r>
        <w:rPr>
          <w:b w:val="false"/>
          <w:bCs w:val="false"/>
          <w:i/>
        </w:rPr>
        <w:t>Scientific Reports</w:t>
      </w:r>
      <w:r>
        <w:rPr>
          <w:b w:val="false"/>
          <w:bCs w:val="false"/>
        </w:rPr>
        <w:t xml:space="preserve">, </w:t>
      </w:r>
      <w:r>
        <w:rPr>
          <w:b w:val="false"/>
          <w:bCs w:val="false"/>
          <w:i/>
        </w:rPr>
        <w:t>7</w:t>
      </w:r>
      <w:r>
        <w:rPr>
          <w:b w:val="false"/>
          <w:bCs w:val="false"/>
        </w:rPr>
        <w:t>(1), 132. doi:</w:t>
      </w:r>
      <w:hyperlink r:id="rId6">
        <w:r>
          <w:rPr>
            <w:rStyle w:val="InternetLink"/>
            <w:b w:val="false"/>
            <w:bCs w:val="false"/>
          </w:rPr>
          <w:t>10.1038/s41598-017-00166-z</w:t>
        </w:r>
      </w:hyperlink>
    </w:p>
    <w:p>
      <w:pPr>
        <w:pStyle w:val="Normal"/>
        <w:bidi w:val="0"/>
        <w:spacing w:lineRule="auto" w:line="480"/>
        <w:jc w:val="left"/>
        <w:rPr/>
      </w:pPr>
      <w:r>
        <w:rPr>
          <w:b w:val="false"/>
          <w:bCs w:val="false"/>
        </w:rPr>
        <w:t xml:space="preserve">Augspurger, C. K. (1983). Seed Dispersal of the Tropical Tree, Platypodium Elegans, and the Escape of its Seedlings from Fungal Pathogens. </w:t>
      </w:r>
      <w:r>
        <w:rPr>
          <w:b w:val="false"/>
          <w:bCs w:val="false"/>
          <w:i/>
        </w:rPr>
        <w:t>Journal of Ecology</w:t>
      </w:r>
      <w:r>
        <w:rPr>
          <w:b w:val="false"/>
          <w:bCs w:val="false"/>
        </w:rPr>
        <w:t xml:space="preserve">, </w:t>
      </w:r>
      <w:r>
        <w:rPr>
          <w:b w:val="false"/>
          <w:bCs w:val="false"/>
          <w:i/>
        </w:rPr>
        <w:t>71</w:t>
      </w:r>
      <w:r>
        <w:rPr>
          <w:b w:val="false"/>
          <w:bCs w:val="false"/>
        </w:rPr>
        <w:t>(3), 759–771. doi:</w:t>
      </w:r>
      <w:hyperlink r:id="rId7">
        <w:r>
          <w:rPr>
            <w:rStyle w:val="InternetLink"/>
            <w:b w:val="false"/>
            <w:bCs w:val="false"/>
          </w:rPr>
          <w:t>10.2307/2259591</w:t>
        </w:r>
      </w:hyperlink>
    </w:p>
    <w:p>
      <w:pPr>
        <w:pStyle w:val="Normal"/>
        <w:bidi w:val="0"/>
        <w:spacing w:lineRule="auto" w:line="480"/>
        <w:jc w:val="left"/>
        <w:rPr/>
      </w:pPr>
      <w:r>
        <w:rPr>
          <w:b w:val="false"/>
          <w:bCs w:val="false"/>
        </w:rPr>
        <w:t xml:space="preserve">Bagchi, R., Gallery, R. E., Gripenberg, S., Gurr, S. J., Narayan, L., Addis, C. E., … Lewis, O. T. (2014). Pathogens and insect herbivores drive rainforest plant diversity and composition. </w:t>
      </w:r>
      <w:r>
        <w:rPr>
          <w:b w:val="false"/>
          <w:bCs w:val="false"/>
          <w:i/>
        </w:rPr>
        <w:t>Nature</w:t>
      </w:r>
      <w:r>
        <w:rPr>
          <w:b w:val="false"/>
          <w:bCs w:val="false"/>
        </w:rPr>
        <w:t xml:space="preserve">, </w:t>
      </w:r>
      <w:r>
        <w:rPr>
          <w:b w:val="false"/>
          <w:bCs w:val="false"/>
          <w:i/>
        </w:rPr>
        <w:t>506</w:t>
      </w:r>
      <w:r>
        <w:rPr>
          <w:b w:val="false"/>
          <w:bCs w:val="false"/>
        </w:rPr>
        <w:t>(7486), 85–88. doi:</w:t>
      </w:r>
      <w:hyperlink r:id="rId8">
        <w:r>
          <w:rPr>
            <w:rStyle w:val="InternetLink"/>
            <w:b w:val="false"/>
            <w:bCs w:val="false"/>
          </w:rPr>
          <w:t>10.1038/nature12911</w:t>
        </w:r>
      </w:hyperlink>
    </w:p>
    <w:p>
      <w:pPr>
        <w:pStyle w:val="Normal"/>
        <w:bidi w:val="0"/>
        <w:spacing w:lineRule="auto" w:line="480"/>
        <w:jc w:val="left"/>
        <w:rPr/>
      </w:pPr>
      <w:r>
        <w:rPr>
          <w:b w:val="false"/>
          <w:bCs w:val="false"/>
        </w:rPr>
        <w:t xml:space="preserve">Bagchi, R., Swinfield, T., Gallery, R. E., Lewis, O. T., Gripenberg, S., Narayan, L., &amp; Freckleton, R. P. (2010). Testing the Janzen-Connell mechanism: pathogens cause overcompensating density dependence in a tropical tree. </w:t>
      </w:r>
      <w:r>
        <w:rPr>
          <w:b w:val="false"/>
          <w:bCs w:val="false"/>
          <w:i/>
        </w:rPr>
        <w:t>Ecology Letters</w:t>
      </w:r>
      <w:r>
        <w:rPr>
          <w:b w:val="false"/>
          <w:bCs w:val="false"/>
        </w:rPr>
        <w:t xml:space="preserve">, </w:t>
      </w:r>
      <w:r>
        <w:rPr>
          <w:b w:val="false"/>
          <w:bCs w:val="false"/>
          <w:i/>
        </w:rPr>
        <w:t>13</w:t>
      </w:r>
      <w:r>
        <w:rPr>
          <w:b w:val="false"/>
          <w:bCs w:val="false"/>
        </w:rPr>
        <w:t>(10), 1262–1269. doi:</w:t>
      </w:r>
      <w:hyperlink r:id="rId9">
        <w:r>
          <w:rPr>
            <w:rStyle w:val="InternetLink"/>
            <w:b w:val="false"/>
            <w:bCs w:val="false"/>
          </w:rPr>
          <w:t>10.1111/j.1461-0248.2010.01520.x</w:t>
        </w:r>
      </w:hyperlink>
    </w:p>
    <w:p>
      <w:pPr>
        <w:pStyle w:val="Normal"/>
        <w:bidi w:val="0"/>
        <w:spacing w:lineRule="auto" w:line="480"/>
        <w:jc w:val="left"/>
        <w:rPr/>
      </w:pPr>
      <w:r>
        <w:rPr>
          <w:b w:val="false"/>
          <w:bCs w:val="false"/>
        </w:rPr>
        <w:t xml:space="preserve">Barlow, J., Gardner, T. A., Araujo, I. S., Ávila-Pires, T. C., Bonaldo, A. B., Costa, J. E., … Peres, C. A. (2007). Quantifying the biodiversity value of tropical primary, secondary, and plantation forests. </w:t>
      </w:r>
      <w:r>
        <w:rPr>
          <w:b w:val="false"/>
          <w:bCs w:val="false"/>
          <w:i/>
        </w:rPr>
        <w:t>Proceedings of the National Academy of Sciences</w:t>
      </w:r>
      <w:r>
        <w:rPr>
          <w:b w:val="false"/>
          <w:bCs w:val="false"/>
        </w:rPr>
        <w:t xml:space="preserve">, </w:t>
      </w:r>
      <w:r>
        <w:rPr>
          <w:b w:val="false"/>
          <w:bCs w:val="false"/>
          <w:i/>
        </w:rPr>
        <w:t>104</w:t>
      </w:r>
      <w:r>
        <w:rPr>
          <w:b w:val="false"/>
          <w:bCs w:val="false"/>
        </w:rPr>
        <w:t>(47), 18555–18560. doi:</w:t>
      </w:r>
      <w:hyperlink r:id="rId10">
        <w:r>
          <w:rPr>
            <w:rStyle w:val="InternetLink"/>
            <w:b w:val="false"/>
            <w:bCs w:val="false"/>
          </w:rPr>
          <w:t>10.1073/pnas.0703333104</w:t>
        </w:r>
      </w:hyperlink>
    </w:p>
    <w:p>
      <w:pPr>
        <w:pStyle w:val="Normal"/>
        <w:bidi w:val="0"/>
        <w:spacing w:lineRule="auto" w:line="480"/>
        <w:jc w:val="left"/>
        <w:rPr/>
      </w:pPr>
      <w:r>
        <w:rPr>
          <w:b w:val="false"/>
          <w:bCs w:val="false"/>
        </w:rPr>
        <w:t xml:space="preserve">Basset, Y. (1996). Local Communities of Arboreal Herbivores in Papua New Guinea: Predictors of Insect Variables. </w:t>
      </w:r>
      <w:r>
        <w:rPr>
          <w:b w:val="false"/>
          <w:bCs w:val="false"/>
          <w:i/>
        </w:rPr>
        <w:t>Ecology</w:t>
      </w:r>
      <w:r>
        <w:rPr>
          <w:b w:val="false"/>
          <w:bCs w:val="false"/>
        </w:rPr>
        <w:t xml:space="preserve">, </w:t>
      </w:r>
      <w:r>
        <w:rPr>
          <w:b w:val="false"/>
          <w:bCs w:val="false"/>
          <w:i/>
        </w:rPr>
        <w:t>77</w:t>
      </w:r>
      <w:r>
        <w:rPr>
          <w:b w:val="false"/>
          <w:bCs w:val="false"/>
        </w:rPr>
        <w:t>(6), 1906–1919. doi:</w:t>
      </w:r>
      <w:hyperlink r:id="rId11">
        <w:r>
          <w:rPr>
            <w:rStyle w:val="InternetLink"/>
            <w:b w:val="false"/>
            <w:bCs w:val="false"/>
          </w:rPr>
          <w:t>10.2307/2265794</w:t>
        </w:r>
      </w:hyperlink>
    </w:p>
    <w:p>
      <w:pPr>
        <w:pStyle w:val="Normal"/>
        <w:bidi w:val="0"/>
        <w:spacing w:lineRule="auto" w:line="480"/>
        <w:jc w:val="left"/>
        <w:rPr/>
      </w:pPr>
      <w:r>
        <w:rPr>
          <w:b w:val="false"/>
          <w:bCs w:val="false"/>
        </w:rPr>
        <w:t xml:space="preserve">Bates, D., Mächler, M., Bolker, B., &amp; Walker, S. (2015). Fitting Linear Mixed-Effects Models Using lme4. </w:t>
      </w:r>
      <w:r>
        <w:rPr>
          <w:b w:val="false"/>
          <w:bCs w:val="false"/>
          <w:i/>
        </w:rPr>
        <w:t>Journal of Statistical Software</w:t>
      </w:r>
      <w:r>
        <w:rPr>
          <w:b w:val="false"/>
          <w:bCs w:val="false"/>
        </w:rPr>
        <w:t xml:space="preserve">, </w:t>
      </w:r>
      <w:r>
        <w:rPr>
          <w:b w:val="false"/>
          <w:bCs w:val="false"/>
          <w:i/>
        </w:rPr>
        <w:t>67</w:t>
      </w:r>
      <w:r>
        <w:rPr>
          <w:b w:val="false"/>
          <w:bCs w:val="false"/>
        </w:rPr>
        <w:t>(1), 1–48. doi:</w:t>
      </w:r>
      <w:hyperlink r:id="rId12">
        <w:r>
          <w:rPr>
            <w:rStyle w:val="InternetLink"/>
            <w:b w:val="false"/>
            <w:bCs w:val="false"/>
          </w:rPr>
          <w:t>10.18637/jss.v067.i01</w:t>
        </w:r>
      </w:hyperlink>
    </w:p>
    <w:p>
      <w:pPr>
        <w:pStyle w:val="Normal"/>
        <w:bidi w:val="0"/>
        <w:spacing w:lineRule="auto" w:line="480"/>
        <w:jc w:val="left"/>
        <w:rPr/>
      </w:pPr>
      <w:r>
        <w:rPr>
          <w:b w:val="false"/>
          <w:bCs w:val="false"/>
        </w:rPr>
        <w:t xml:space="preserve">Boukili, V. K., &amp; Chazdon, R. L. (2017). Environmental filtering, local site factors and landscape context drive changes in functional trait composition during tropical forest succession. </w:t>
      </w:r>
      <w:r>
        <w:rPr>
          <w:b w:val="false"/>
          <w:bCs w:val="false"/>
          <w:i/>
        </w:rPr>
        <w:t>Perspectives in Plant Ecology, Evolution and Systematics</w:t>
      </w:r>
      <w:r>
        <w:rPr>
          <w:b w:val="false"/>
          <w:bCs w:val="false"/>
        </w:rPr>
        <w:t xml:space="preserve">, </w:t>
      </w:r>
      <w:r>
        <w:rPr>
          <w:b w:val="false"/>
          <w:bCs w:val="false"/>
          <w:i/>
        </w:rPr>
        <w:t>24</w:t>
      </w:r>
      <w:r>
        <w:rPr>
          <w:b w:val="false"/>
          <w:bCs w:val="false"/>
        </w:rPr>
        <w:t>, 37–47. doi:</w:t>
      </w:r>
      <w:hyperlink r:id="rId13">
        <w:r>
          <w:rPr>
            <w:rStyle w:val="InternetLink"/>
            <w:b w:val="false"/>
            <w:bCs w:val="false"/>
          </w:rPr>
          <w:t>10.1016/j.ppees.2016.11.003</w:t>
        </w:r>
      </w:hyperlink>
    </w:p>
    <w:p>
      <w:pPr>
        <w:pStyle w:val="Normal"/>
        <w:bidi w:val="0"/>
        <w:spacing w:lineRule="auto" w:line="480"/>
        <w:jc w:val="left"/>
        <w:rPr/>
      </w:pPr>
      <w:r>
        <w:rPr>
          <w:b w:val="false"/>
          <w:bCs w:val="false"/>
        </w:rPr>
        <w:t xml:space="preserve">Buzzard, V., Hulshof, C. M., Birt, T., Violle, C., &amp; Enquist, B. J. (2016). Re-growing a tropical dry forest: functional plant trait composition and community assembly during succession. </w:t>
      </w:r>
      <w:r>
        <w:rPr>
          <w:b w:val="false"/>
          <w:bCs w:val="false"/>
          <w:i/>
        </w:rPr>
        <w:t>Functional Ecology</w:t>
      </w:r>
      <w:r>
        <w:rPr>
          <w:b w:val="false"/>
          <w:bCs w:val="false"/>
        </w:rPr>
        <w:t xml:space="preserve">, </w:t>
      </w:r>
      <w:r>
        <w:rPr>
          <w:b w:val="false"/>
          <w:bCs w:val="false"/>
          <w:i/>
        </w:rPr>
        <w:t>30</w:t>
      </w:r>
      <w:r>
        <w:rPr>
          <w:b w:val="false"/>
          <w:bCs w:val="false"/>
        </w:rPr>
        <w:t>(6), 1006–1013. doi:</w:t>
      </w:r>
      <w:hyperlink r:id="rId14">
        <w:r>
          <w:rPr>
            <w:rStyle w:val="InternetLink"/>
            <w:b w:val="false"/>
            <w:bCs w:val="false"/>
          </w:rPr>
          <w:t>10.1111/1365-2435.12579</w:t>
        </w:r>
      </w:hyperlink>
    </w:p>
    <w:p>
      <w:pPr>
        <w:pStyle w:val="Normal"/>
        <w:bidi w:val="0"/>
        <w:spacing w:lineRule="auto" w:line="480"/>
        <w:jc w:val="left"/>
        <w:rPr/>
      </w:pPr>
      <w:r>
        <w:rPr>
          <w:b w:val="false"/>
          <w:bCs w:val="false"/>
        </w:rPr>
        <w:t xml:space="preserve">Chalcraft, D. R., Williams, J. W., Smith, M. D., &amp; Willig, M. R. (2004). Scale Dependence in the Species-Richness–Productivity Relationship: The Role of Species Turnover. </w:t>
      </w:r>
      <w:r>
        <w:rPr>
          <w:b w:val="false"/>
          <w:bCs w:val="false"/>
          <w:i/>
        </w:rPr>
        <w:t>Ecology</w:t>
      </w:r>
      <w:r>
        <w:rPr>
          <w:b w:val="false"/>
          <w:bCs w:val="false"/>
        </w:rPr>
        <w:t xml:space="preserve">, </w:t>
      </w:r>
      <w:r>
        <w:rPr>
          <w:b w:val="false"/>
          <w:bCs w:val="false"/>
          <w:i/>
        </w:rPr>
        <w:t>85</w:t>
      </w:r>
      <w:r>
        <w:rPr>
          <w:b w:val="false"/>
          <w:bCs w:val="false"/>
        </w:rPr>
        <w:t>(10), 2701–2708. doi:</w:t>
      </w:r>
      <w:hyperlink r:id="rId15">
        <w:r>
          <w:rPr>
            <w:rStyle w:val="InternetLink"/>
            <w:b w:val="false"/>
            <w:bCs w:val="false"/>
          </w:rPr>
          <w:t>10.1890/03-0561</w:t>
        </w:r>
      </w:hyperlink>
    </w:p>
    <w:p>
      <w:pPr>
        <w:pStyle w:val="Normal"/>
        <w:bidi w:val="0"/>
        <w:spacing w:lineRule="auto" w:line="480"/>
        <w:jc w:val="left"/>
        <w:rPr/>
      </w:pPr>
      <w:r>
        <w:rPr>
          <w:b w:val="false"/>
          <w:bCs w:val="false"/>
        </w:rPr>
        <w:t xml:space="preserve">Chase, J. M. (2010). Stochastic Community Assembly Causes Higher Biodiversity in More Productive Environments. </w:t>
      </w:r>
      <w:r>
        <w:rPr>
          <w:b w:val="false"/>
          <w:bCs w:val="false"/>
          <w:i/>
        </w:rPr>
        <w:t>Science</w:t>
      </w:r>
      <w:r>
        <w:rPr>
          <w:b w:val="false"/>
          <w:bCs w:val="false"/>
        </w:rPr>
        <w:t xml:space="preserve">, </w:t>
      </w:r>
      <w:r>
        <w:rPr>
          <w:b w:val="false"/>
          <w:bCs w:val="false"/>
          <w:i/>
        </w:rPr>
        <w:t>328</w:t>
      </w:r>
      <w:r>
        <w:rPr>
          <w:b w:val="false"/>
          <w:bCs w:val="false"/>
        </w:rPr>
        <w:t>(5984), 1388–1391. doi:</w:t>
      </w:r>
      <w:hyperlink r:id="rId16">
        <w:r>
          <w:rPr>
            <w:rStyle w:val="InternetLink"/>
            <w:b w:val="false"/>
            <w:bCs w:val="false"/>
          </w:rPr>
          <w:t>10.1126/science.1187820</w:t>
        </w:r>
      </w:hyperlink>
    </w:p>
    <w:p>
      <w:pPr>
        <w:pStyle w:val="Normal"/>
        <w:bidi w:val="0"/>
        <w:spacing w:lineRule="auto" w:line="480"/>
        <w:jc w:val="left"/>
        <w:rPr/>
      </w:pPr>
      <w:r>
        <w:rPr>
          <w:b w:val="false"/>
          <w:bCs w:val="false"/>
        </w:rPr>
        <w:t xml:space="preserve">Chase, J. M., Biro, E. G., Ryberg, W. A., &amp; Smith, K. G. (2009). Predators temper the relative importance of stochastic processes in the assembly of prey metacommunities. </w:t>
      </w:r>
      <w:r>
        <w:rPr>
          <w:b w:val="false"/>
          <w:bCs w:val="false"/>
          <w:i/>
        </w:rPr>
        <w:t>Ecology Letters</w:t>
      </w:r>
      <w:r>
        <w:rPr>
          <w:b w:val="false"/>
          <w:bCs w:val="false"/>
        </w:rPr>
        <w:t xml:space="preserve">, </w:t>
      </w:r>
      <w:r>
        <w:rPr>
          <w:b w:val="false"/>
          <w:bCs w:val="false"/>
          <w:i/>
        </w:rPr>
        <w:t>12</w:t>
      </w:r>
      <w:r>
        <w:rPr>
          <w:b w:val="false"/>
          <w:bCs w:val="false"/>
        </w:rPr>
        <w:t>(11), 1210–1218. doi:</w:t>
      </w:r>
      <w:hyperlink r:id="rId17">
        <w:r>
          <w:rPr>
            <w:rStyle w:val="InternetLink"/>
            <w:b w:val="false"/>
            <w:bCs w:val="false"/>
          </w:rPr>
          <w:t>10.1111/j.1461-0248.2009.01362.x</w:t>
        </w:r>
      </w:hyperlink>
    </w:p>
    <w:p>
      <w:pPr>
        <w:pStyle w:val="Normal"/>
        <w:bidi w:val="0"/>
        <w:spacing w:lineRule="auto" w:line="480"/>
        <w:jc w:val="left"/>
        <w:rPr/>
      </w:pPr>
      <w:r>
        <w:rPr>
          <w:b w:val="false"/>
          <w:bCs w:val="false"/>
        </w:rPr>
        <w:t xml:space="preserve">Chase, J. M., Kraft, N. J. B., Smith, K. G., Vellend, M., &amp; Inouye, B. D. (2011). Using null models to disentangle variation in community dissimilarity from variation in α-diversity. </w:t>
      </w:r>
      <w:r>
        <w:rPr>
          <w:b w:val="false"/>
          <w:bCs w:val="false"/>
          <w:i/>
        </w:rPr>
        <w:t>Ecosphere</w:t>
      </w:r>
      <w:r>
        <w:rPr>
          <w:b w:val="false"/>
          <w:bCs w:val="false"/>
        </w:rPr>
        <w:t xml:space="preserve">, </w:t>
      </w:r>
      <w:r>
        <w:rPr>
          <w:b w:val="false"/>
          <w:bCs w:val="false"/>
          <w:i/>
        </w:rPr>
        <w:t>2</w:t>
      </w:r>
      <w:r>
        <w:rPr>
          <w:b w:val="false"/>
          <w:bCs w:val="false"/>
        </w:rPr>
        <w:t>(2), art24. doi:</w:t>
      </w:r>
      <w:hyperlink r:id="rId18">
        <w:r>
          <w:rPr>
            <w:rStyle w:val="InternetLink"/>
            <w:b w:val="false"/>
            <w:bCs w:val="false"/>
          </w:rPr>
          <w:t>10.1890/ES10-00117.1</w:t>
        </w:r>
      </w:hyperlink>
    </w:p>
    <w:p>
      <w:pPr>
        <w:pStyle w:val="Normal"/>
        <w:bidi w:val="0"/>
        <w:spacing w:lineRule="auto" w:line="480"/>
        <w:jc w:val="left"/>
        <w:rPr/>
      </w:pPr>
      <w:r>
        <w:rPr>
          <w:b w:val="false"/>
          <w:bCs w:val="false"/>
        </w:rPr>
        <w:t xml:space="preserve">Chase, J. M., &amp; Leibold, M. A. (2002). Spatial scale dictates the productivity–biodiversity relationship. </w:t>
      </w:r>
      <w:r>
        <w:rPr>
          <w:b w:val="false"/>
          <w:bCs w:val="false"/>
          <w:i/>
        </w:rPr>
        <w:t>Nature</w:t>
      </w:r>
      <w:r>
        <w:rPr>
          <w:b w:val="false"/>
          <w:bCs w:val="false"/>
        </w:rPr>
        <w:t xml:space="preserve">, </w:t>
      </w:r>
      <w:r>
        <w:rPr>
          <w:b w:val="false"/>
          <w:bCs w:val="false"/>
          <w:i/>
        </w:rPr>
        <w:t>416</w:t>
      </w:r>
      <w:r>
        <w:rPr>
          <w:b w:val="false"/>
          <w:bCs w:val="false"/>
        </w:rPr>
        <w:t>(6879), 427–430. doi:</w:t>
      </w:r>
      <w:hyperlink r:id="rId19">
        <w:r>
          <w:rPr>
            <w:rStyle w:val="InternetLink"/>
            <w:b w:val="false"/>
            <w:bCs w:val="false"/>
          </w:rPr>
          <w:t>10.1038/416427a</w:t>
        </w:r>
      </w:hyperlink>
    </w:p>
    <w:p>
      <w:pPr>
        <w:pStyle w:val="Normal"/>
        <w:bidi w:val="0"/>
        <w:spacing w:lineRule="auto" w:line="480"/>
        <w:jc w:val="left"/>
        <w:rPr/>
      </w:pPr>
      <w:r>
        <w:rPr>
          <w:b w:val="false"/>
          <w:bCs w:val="false"/>
        </w:rPr>
        <w:t xml:space="preserve">Chazdon, R. L. (2014). </w:t>
      </w:r>
      <w:r>
        <w:rPr>
          <w:b w:val="false"/>
          <w:bCs w:val="false"/>
          <w:i/>
        </w:rPr>
        <w:t>Second Growth: The Promise of Tropical Forest Regeneration in an Age of Deforestation</w:t>
      </w:r>
      <w:r>
        <w:rPr>
          <w:b w:val="false"/>
          <w:bCs w:val="false"/>
        </w:rPr>
        <w:t>. University of Chicago Press.</w:t>
      </w:r>
    </w:p>
    <w:p>
      <w:pPr>
        <w:pStyle w:val="Normal"/>
        <w:bidi w:val="0"/>
        <w:spacing w:lineRule="auto" w:line="480"/>
        <w:jc w:val="left"/>
        <w:rPr/>
      </w:pPr>
      <w:r>
        <w:rPr>
          <w:b w:val="false"/>
          <w:bCs w:val="false"/>
        </w:rPr>
        <w:t xml:space="preserve">Chesson, P. (2000). Mechanisms of Maintenance of Species Diversity. </w:t>
      </w:r>
      <w:r>
        <w:rPr>
          <w:b w:val="false"/>
          <w:bCs w:val="false"/>
          <w:i/>
        </w:rPr>
        <w:t>Annual Review of Ecology and Systematics</w:t>
      </w:r>
      <w:r>
        <w:rPr>
          <w:b w:val="false"/>
          <w:bCs w:val="false"/>
        </w:rPr>
        <w:t xml:space="preserve">, </w:t>
      </w:r>
      <w:r>
        <w:rPr>
          <w:b w:val="false"/>
          <w:bCs w:val="false"/>
          <w:i/>
        </w:rPr>
        <w:t>31</w:t>
      </w:r>
      <w:r>
        <w:rPr>
          <w:b w:val="false"/>
          <w:bCs w:val="false"/>
        </w:rPr>
        <w:t>(1), 343–366. doi:</w:t>
      </w:r>
      <w:hyperlink r:id="rId20">
        <w:r>
          <w:rPr>
            <w:rStyle w:val="InternetLink"/>
            <w:b w:val="false"/>
            <w:bCs w:val="false"/>
          </w:rPr>
          <w:t>10.1146/annurev.ecolsys.31.1.343</w:t>
        </w:r>
      </w:hyperlink>
    </w:p>
    <w:p>
      <w:pPr>
        <w:pStyle w:val="Normal"/>
        <w:bidi w:val="0"/>
        <w:spacing w:lineRule="auto" w:line="480"/>
        <w:jc w:val="left"/>
        <w:rPr/>
      </w:pPr>
      <w:r>
        <w:rPr>
          <w:b w:val="false"/>
          <w:bCs w:val="false"/>
        </w:rPr>
        <w:t xml:space="preserve">Clark, D. B., &amp; Clark, D. A. (1989). The Role of Physical Damage in the Seedling Mortality Regime of a Neotropical Rain Forest. </w:t>
      </w:r>
      <w:r>
        <w:rPr>
          <w:b w:val="false"/>
          <w:bCs w:val="false"/>
          <w:i/>
        </w:rPr>
        <w:t>Oikos</w:t>
      </w:r>
      <w:r>
        <w:rPr>
          <w:b w:val="false"/>
          <w:bCs w:val="false"/>
        </w:rPr>
        <w:t xml:space="preserve">, </w:t>
      </w:r>
      <w:r>
        <w:rPr>
          <w:b w:val="false"/>
          <w:bCs w:val="false"/>
          <w:i/>
        </w:rPr>
        <w:t>55</w:t>
      </w:r>
      <w:r>
        <w:rPr>
          <w:b w:val="false"/>
          <w:bCs w:val="false"/>
        </w:rPr>
        <w:t>(2), 225–230. doi:</w:t>
      </w:r>
      <w:hyperlink r:id="rId21">
        <w:r>
          <w:rPr>
            <w:rStyle w:val="InternetLink"/>
            <w:b w:val="false"/>
            <w:bCs w:val="false"/>
          </w:rPr>
          <w:t>10.2307/3565426</w:t>
        </w:r>
      </w:hyperlink>
    </w:p>
    <w:p>
      <w:pPr>
        <w:pStyle w:val="Normal"/>
        <w:bidi w:val="0"/>
        <w:spacing w:lineRule="auto" w:line="480"/>
        <w:jc w:val="left"/>
        <w:rPr/>
      </w:pPr>
      <w:r>
        <w:rPr>
          <w:b w:val="false"/>
          <w:bCs w:val="false"/>
        </w:rPr>
        <w:t xml:space="preserve">Coley, P. D., Bryant, J. P., &amp; Chapin, F. S. (1985). Resource availability and plant antiherbivore defense. </w:t>
      </w:r>
      <w:r>
        <w:rPr>
          <w:b w:val="false"/>
          <w:bCs w:val="false"/>
          <w:i/>
        </w:rPr>
        <w:t>Science (New York, N.Y.)</w:t>
      </w:r>
      <w:r>
        <w:rPr>
          <w:b w:val="false"/>
          <w:bCs w:val="false"/>
        </w:rPr>
        <w:t xml:space="preserve">, </w:t>
      </w:r>
      <w:r>
        <w:rPr>
          <w:b w:val="false"/>
          <w:bCs w:val="false"/>
          <w:i/>
        </w:rPr>
        <w:t>230</w:t>
      </w:r>
      <w:r>
        <w:rPr>
          <w:b w:val="false"/>
          <w:bCs w:val="false"/>
        </w:rPr>
        <w:t>(4728), 895–899. doi:</w:t>
      </w:r>
      <w:hyperlink r:id="rId22">
        <w:r>
          <w:rPr>
            <w:rStyle w:val="InternetLink"/>
            <w:b w:val="false"/>
            <w:bCs w:val="false"/>
          </w:rPr>
          <w:t>10.1126/science.230.4728.895</w:t>
        </w:r>
      </w:hyperlink>
    </w:p>
    <w:p>
      <w:pPr>
        <w:pStyle w:val="Normal"/>
        <w:bidi w:val="0"/>
        <w:spacing w:lineRule="auto" w:line="480"/>
        <w:jc w:val="left"/>
        <w:rPr/>
      </w:pPr>
      <w:r>
        <w:rPr>
          <w:b w:val="false"/>
          <w:bCs w:val="false"/>
        </w:rPr>
        <w:t xml:space="preserve">Connell, J. H. (1971). On the role of the natural enemies in preventing competitive exclusion in some marine animals and in rain forest trees. Retrieved from </w:t>
      </w:r>
      <w:hyperlink r:id="rId23">
        <w:r>
          <w:rPr>
            <w:rStyle w:val="InternetLink"/>
            <w:b w:val="false"/>
            <w:bCs w:val="false"/>
          </w:rPr>
          <w:t>https://www.scienceopen.com/document?vid=27c65cb8-4185-4276-8673-230e23e569c4</w:t>
        </w:r>
      </w:hyperlink>
    </w:p>
    <w:p>
      <w:pPr>
        <w:pStyle w:val="Normal"/>
        <w:bidi w:val="0"/>
        <w:spacing w:lineRule="auto" w:line="480"/>
        <w:jc w:val="left"/>
        <w:rPr/>
      </w:pPr>
      <w:r>
        <w:rPr>
          <w:b w:val="false"/>
          <w:bCs w:val="false"/>
        </w:rPr>
        <w:t xml:space="preserve">Craven, D., Hall, J. S., Berlyn, G. P., Ashton, M. S., &amp; Breugel, M. van. (2018). Environmental filtering limits functional diversity during succession in a seasonally wet tropical secondary forest. </w:t>
      </w:r>
      <w:r>
        <w:rPr>
          <w:b w:val="false"/>
          <w:bCs w:val="false"/>
          <w:i/>
        </w:rPr>
        <w:t>Journal of Vegetation Science</w:t>
      </w:r>
      <w:r>
        <w:rPr>
          <w:b w:val="false"/>
          <w:bCs w:val="false"/>
        </w:rPr>
        <w:t xml:space="preserve">, </w:t>
      </w:r>
      <w:r>
        <w:rPr>
          <w:b w:val="false"/>
          <w:bCs w:val="false"/>
          <w:i/>
        </w:rPr>
        <w:t>29</w:t>
      </w:r>
      <w:r>
        <w:rPr>
          <w:b w:val="false"/>
          <w:bCs w:val="false"/>
        </w:rPr>
        <w:t>(3), 511–520. doi:</w:t>
      </w:r>
      <w:hyperlink r:id="rId24">
        <w:r>
          <w:rPr>
            <w:rStyle w:val="InternetLink"/>
            <w:b w:val="false"/>
            <w:bCs w:val="false"/>
          </w:rPr>
          <w:t>10.1111/jvs.12632</w:t>
        </w:r>
      </w:hyperlink>
    </w:p>
    <w:p>
      <w:pPr>
        <w:pStyle w:val="Normal"/>
        <w:bidi w:val="0"/>
        <w:spacing w:lineRule="auto" w:line="480"/>
        <w:jc w:val="left"/>
        <w:rPr/>
      </w:pPr>
      <w:r>
        <w:rPr>
          <w:b w:val="false"/>
          <w:bCs w:val="false"/>
        </w:rPr>
        <w:t xml:space="preserve">Crawley, M. J. (1989). Insect Herbivores and Plant Population Dynamics. </w:t>
      </w:r>
      <w:r>
        <w:rPr>
          <w:b w:val="false"/>
          <w:bCs w:val="false"/>
          <w:i/>
        </w:rPr>
        <w:t>Annual Review of Entomology</w:t>
      </w:r>
      <w:r>
        <w:rPr>
          <w:b w:val="false"/>
          <w:bCs w:val="false"/>
        </w:rPr>
        <w:t xml:space="preserve">, </w:t>
      </w:r>
      <w:r>
        <w:rPr>
          <w:b w:val="false"/>
          <w:bCs w:val="false"/>
          <w:i/>
        </w:rPr>
        <w:t>34</w:t>
      </w:r>
      <w:r>
        <w:rPr>
          <w:b w:val="false"/>
          <w:bCs w:val="false"/>
        </w:rPr>
        <w:t>(1), 531–562. doi:</w:t>
      </w:r>
      <w:hyperlink r:id="rId25">
        <w:r>
          <w:rPr>
            <w:rStyle w:val="InternetLink"/>
            <w:b w:val="false"/>
            <w:bCs w:val="false"/>
          </w:rPr>
          <w:t>10.1146/annurev.en.34.010189.002531</w:t>
        </w:r>
      </w:hyperlink>
    </w:p>
    <w:p>
      <w:pPr>
        <w:pStyle w:val="Normal"/>
        <w:bidi w:val="0"/>
        <w:spacing w:lineRule="auto" w:line="480"/>
        <w:jc w:val="left"/>
        <w:rPr/>
      </w:pPr>
      <w:r>
        <w:rPr>
          <w:b w:val="false"/>
          <w:bCs w:val="false"/>
        </w:rPr>
        <w:t xml:space="preserve">Cribari-Neto, F., &amp; Zeileis, A. (2010). Beta Regression in R. </w:t>
      </w:r>
      <w:r>
        <w:rPr>
          <w:b w:val="false"/>
          <w:bCs w:val="false"/>
          <w:i/>
        </w:rPr>
        <w:t>Journal of Statistical Software</w:t>
      </w:r>
      <w:r>
        <w:rPr>
          <w:b w:val="false"/>
          <w:bCs w:val="false"/>
        </w:rPr>
        <w:t xml:space="preserve">, </w:t>
      </w:r>
      <w:r>
        <w:rPr>
          <w:b w:val="false"/>
          <w:bCs w:val="false"/>
          <w:i/>
        </w:rPr>
        <w:t>34</w:t>
      </w:r>
      <w:r>
        <w:rPr>
          <w:b w:val="false"/>
          <w:bCs w:val="false"/>
        </w:rPr>
        <w:t>(1), 1–24. doi:</w:t>
      </w:r>
      <w:hyperlink r:id="rId26">
        <w:r>
          <w:rPr>
            <w:rStyle w:val="InternetLink"/>
            <w:b w:val="false"/>
            <w:bCs w:val="false"/>
          </w:rPr>
          <w:t>10.18637/jss.v034.i02</w:t>
        </w:r>
      </w:hyperlink>
    </w:p>
    <w:p>
      <w:pPr>
        <w:pStyle w:val="Normal"/>
        <w:bidi w:val="0"/>
        <w:spacing w:lineRule="auto" w:line="480"/>
        <w:jc w:val="left"/>
        <w:rPr/>
      </w:pPr>
      <w:r>
        <w:rPr>
          <w:b w:val="false"/>
          <w:bCs w:val="false"/>
        </w:rPr>
        <w:t xml:space="preserve">Denslow, J. S. (1987). Tropical Rainforest Gaps and Tree Species Diversity. </w:t>
      </w:r>
      <w:r>
        <w:rPr>
          <w:b w:val="false"/>
          <w:bCs w:val="false"/>
          <w:i/>
        </w:rPr>
        <w:t>Annual Review of Ecology and Systematics</w:t>
      </w:r>
      <w:r>
        <w:rPr>
          <w:b w:val="false"/>
          <w:bCs w:val="false"/>
        </w:rPr>
        <w:t xml:space="preserve">, </w:t>
      </w:r>
      <w:r>
        <w:rPr>
          <w:b w:val="false"/>
          <w:bCs w:val="false"/>
          <w:i/>
        </w:rPr>
        <w:t>18</w:t>
      </w:r>
      <w:r>
        <w:rPr>
          <w:b w:val="false"/>
          <w:bCs w:val="false"/>
        </w:rPr>
        <w:t>(1), 431–451. doi:</w:t>
      </w:r>
      <w:hyperlink r:id="rId27">
        <w:r>
          <w:rPr>
            <w:rStyle w:val="InternetLink"/>
            <w:b w:val="false"/>
            <w:bCs w:val="false"/>
          </w:rPr>
          <w:t>10.1146/annurev.es.18.110187.002243</w:t>
        </w:r>
      </w:hyperlink>
    </w:p>
    <w:p>
      <w:pPr>
        <w:pStyle w:val="TextBody"/>
        <w:rPr/>
      </w:pPr>
      <w:r>
        <w:rPr>
          <w:b w:val="false"/>
          <w:bCs w:val="false"/>
        </w:rPr>
        <w:t xml:space="preserve">Xu, S. (2000). </w:t>
      </w:r>
      <w:r>
        <w:rPr>
          <w:b w:val="false"/>
          <w:bCs w:val="false"/>
          <w:i w:val="false"/>
          <w:iCs w:val="false"/>
        </w:rPr>
        <w:t>Environmental Fat</w:t>
      </w:r>
      <w:r>
        <w:rPr/>
        <w:t xml:space="preserve">e of Mancozeb, </w:t>
      </w:r>
      <w:r>
        <w:rPr>
          <w:i/>
          <w:iCs/>
        </w:rPr>
        <w:t>Environmental monitoring and pest management, California Department of Pesticide Regulation</w:t>
      </w:r>
      <w:r>
        <w:rPr/>
        <w:t>.</w:t>
      </w:r>
    </w:p>
    <w:p>
      <w:pPr>
        <w:pStyle w:val="TextBody"/>
        <w:rPr/>
      </w:pPr>
      <w:r>
        <w:rPr/>
        <w:t xml:space="preserve">Fernandez‐Conradi, P., Jactel, H., Robin, C., Tack, A. J. M., &amp; Castagneyrol, B. (2018). Fungi reduce preference and performance of insect herbivores on challenged plants. </w:t>
      </w:r>
      <w:r>
        <w:rPr>
          <w:i/>
          <w:iCs/>
        </w:rPr>
        <w:t>Ecology</w:t>
      </w:r>
      <w:r>
        <w:rPr/>
        <w:t>, 9</w:t>
      </w:r>
      <w:r>
        <w:rPr>
          <w:b w:val="false"/>
          <w:bCs w:val="false"/>
          <w:i/>
        </w:rPr>
        <w:t>9</w:t>
      </w:r>
      <w:r>
        <w:rPr>
          <w:b w:val="false"/>
          <w:bCs w:val="false"/>
        </w:rPr>
        <w:t>(2), 300–311. doi:</w:t>
      </w:r>
      <w:hyperlink r:id="rId28">
        <w:r>
          <w:rPr>
            <w:rStyle w:val="InternetLink"/>
            <w:b w:val="false"/>
            <w:bCs w:val="false"/>
          </w:rPr>
          <w:t>10.1002/ecy.2044</w:t>
        </w:r>
      </w:hyperlink>
    </w:p>
    <w:p>
      <w:pPr>
        <w:pStyle w:val="Normal"/>
        <w:bidi w:val="0"/>
        <w:spacing w:lineRule="auto" w:line="480"/>
        <w:jc w:val="left"/>
        <w:rPr/>
      </w:pPr>
      <w:r>
        <w:rPr>
          <w:b w:val="false"/>
          <w:bCs w:val="false"/>
        </w:rPr>
        <w:t xml:space="preserve">Freckleton, R. P., &amp; Lewis, O. T. (2006). Pathogens, density dependence and the coexistence of tropical trees. </w:t>
      </w:r>
      <w:r>
        <w:rPr>
          <w:b w:val="false"/>
          <w:bCs w:val="false"/>
          <w:i/>
        </w:rPr>
        <w:t>Proceedings of the Royal Society of London B: Biological Sciences</w:t>
      </w:r>
      <w:r>
        <w:rPr>
          <w:b w:val="false"/>
          <w:bCs w:val="false"/>
        </w:rPr>
        <w:t xml:space="preserve">, </w:t>
      </w:r>
      <w:r>
        <w:rPr>
          <w:b w:val="false"/>
          <w:bCs w:val="false"/>
          <w:i/>
        </w:rPr>
        <w:t>273</w:t>
      </w:r>
      <w:r>
        <w:rPr>
          <w:b w:val="false"/>
          <w:bCs w:val="false"/>
        </w:rPr>
        <w:t>(1604), 2909–2916.</w:t>
      </w:r>
    </w:p>
    <w:p>
      <w:pPr>
        <w:pStyle w:val="Normal"/>
        <w:bidi w:val="0"/>
        <w:spacing w:lineRule="auto" w:line="480"/>
        <w:jc w:val="left"/>
        <w:rPr/>
      </w:pPr>
      <w:r>
        <w:rPr>
          <w:b w:val="false"/>
          <w:bCs w:val="false"/>
        </w:rPr>
        <w:t xml:space="preserve">García-Guzmán, G., &amp; Heil, M. (2014). Life histories of hosts and pathogens predict patterns in tropical fungal plant diseases. </w:t>
      </w:r>
      <w:r>
        <w:rPr>
          <w:b w:val="false"/>
          <w:bCs w:val="false"/>
          <w:i/>
        </w:rPr>
        <w:t>The New Phytologist</w:t>
      </w:r>
      <w:r>
        <w:rPr>
          <w:b w:val="false"/>
          <w:bCs w:val="false"/>
        </w:rPr>
        <w:t xml:space="preserve">, </w:t>
      </w:r>
      <w:r>
        <w:rPr>
          <w:b w:val="false"/>
          <w:bCs w:val="false"/>
          <w:i/>
        </w:rPr>
        <w:t>201</w:t>
      </w:r>
      <w:r>
        <w:rPr>
          <w:b w:val="false"/>
          <w:bCs w:val="false"/>
        </w:rPr>
        <w:t>(4), 1106–1120. doi:</w:t>
      </w:r>
      <w:hyperlink r:id="rId29">
        <w:r>
          <w:rPr>
            <w:rStyle w:val="InternetLink"/>
            <w:b w:val="false"/>
            <w:bCs w:val="false"/>
          </w:rPr>
          <w:t>10.1111/nph.12562</w:t>
        </w:r>
      </w:hyperlink>
    </w:p>
    <w:p>
      <w:pPr>
        <w:pStyle w:val="Normal"/>
        <w:bidi w:val="0"/>
        <w:spacing w:lineRule="auto" w:line="480"/>
        <w:jc w:val="left"/>
        <w:rPr/>
      </w:pPr>
      <w:r>
        <w:rPr>
          <w:b w:val="false"/>
          <w:bCs w:val="false"/>
        </w:rPr>
        <w:t xml:space="preserve">Guariguata, M. R., &amp; Ostertag, R. (2001). Neotropical secondary forest succession: changes in structural and functional characteristics. </w:t>
      </w:r>
      <w:r>
        <w:rPr>
          <w:b w:val="false"/>
          <w:bCs w:val="false"/>
          <w:i/>
        </w:rPr>
        <w:t>Forest Ecology and Management</w:t>
      </w:r>
      <w:r>
        <w:rPr>
          <w:b w:val="false"/>
          <w:bCs w:val="false"/>
        </w:rPr>
        <w:t xml:space="preserve">, </w:t>
      </w:r>
      <w:r>
        <w:rPr>
          <w:b w:val="false"/>
          <w:bCs w:val="false"/>
          <w:i/>
        </w:rPr>
        <w:t>148</w:t>
      </w:r>
      <w:r>
        <w:rPr>
          <w:b w:val="false"/>
          <w:bCs w:val="false"/>
        </w:rPr>
        <w:t>(1), 185–206. doi:</w:t>
      </w:r>
      <w:hyperlink r:id="rId30">
        <w:r>
          <w:rPr>
            <w:rStyle w:val="InternetLink"/>
            <w:b w:val="false"/>
            <w:bCs w:val="false"/>
          </w:rPr>
          <w:t>10.1016/S0378-1127(00)00535-1</w:t>
        </w:r>
      </w:hyperlink>
    </w:p>
    <w:p>
      <w:pPr>
        <w:pStyle w:val="Normal"/>
        <w:bidi w:val="0"/>
        <w:spacing w:lineRule="auto" w:line="480"/>
        <w:jc w:val="left"/>
        <w:rPr/>
      </w:pPr>
      <w:r>
        <w:rPr>
          <w:b w:val="false"/>
          <w:bCs w:val="false"/>
        </w:rPr>
        <w:t xml:space="preserve">Herms, D. A., &amp; Mattson, W. J. (1992). The Dilemma of Plants: To Grow or Defend. </w:t>
      </w:r>
      <w:r>
        <w:rPr>
          <w:b w:val="false"/>
          <w:bCs w:val="false"/>
          <w:i/>
        </w:rPr>
        <w:t>The Quarterly Review of Biology</w:t>
      </w:r>
      <w:r>
        <w:rPr>
          <w:b w:val="false"/>
          <w:bCs w:val="false"/>
        </w:rPr>
        <w:t xml:space="preserve">, </w:t>
      </w:r>
      <w:r>
        <w:rPr>
          <w:b w:val="false"/>
          <w:bCs w:val="false"/>
          <w:i/>
        </w:rPr>
        <w:t>67</w:t>
      </w:r>
      <w:r>
        <w:rPr>
          <w:b w:val="false"/>
          <w:bCs w:val="false"/>
        </w:rPr>
        <w:t>(3), 283–335. doi:</w:t>
      </w:r>
      <w:hyperlink r:id="rId31">
        <w:r>
          <w:rPr>
            <w:rStyle w:val="InternetLink"/>
            <w:b w:val="false"/>
            <w:bCs w:val="false"/>
          </w:rPr>
          <w:t>10.1086/417659</w:t>
        </w:r>
      </w:hyperlink>
    </w:p>
    <w:p>
      <w:pPr>
        <w:pStyle w:val="Normal"/>
        <w:bidi w:val="0"/>
        <w:spacing w:lineRule="auto" w:line="480"/>
        <w:jc w:val="left"/>
        <w:rPr/>
      </w:pPr>
      <w:r>
        <w:rPr>
          <w:b w:val="false"/>
          <w:bCs w:val="false"/>
        </w:rPr>
        <w:t xml:space="preserve">Hubbell, S. P. (2001). </w:t>
      </w:r>
      <w:r>
        <w:rPr>
          <w:b w:val="false"/>
          <w:bCs w:val="false"/>
          <w:i/>
        </w:rPr>
        <w:t>The Unified Neutral Theory of Biodiversity and Biogeography (MPB-32)</w:t>
      </w:r>
      <w:r>
        <w:rPr>
          <w:b w:val="false"/>
          <w:bCs w:val="false"/>
        </w:rPr>
        <w:t>. Princeton University Press.</w:t>
      </w:r>
    </w:p>
    <w:p>
      <w:pPr>
        <w:pStyle w:val="Normal"/>
        <w:bidi w:val="0"/>
        <w:spacing w:lineRule="auto" w:line="480"/>
        <w:jc w:val="left"/>
        <w:rPr/>
      </w:pPr>
      <w:r>
        <w:rPr>
          <w:b w:val="false"/>
          <w:bCs w:val="false"/>
        </w:rPr>
        <w:t xml:space="preserve">Janzen, D. H. (1970). Herbivores and the Number of Tree Species in Tropical Forests. </w:t>
      </w:r>
      <w:r>
        <w:rPr>
          <w:b w:val="false"/>
          <w:bCs w:val="false"/>
          <w:i/>
        </w:rPr>
        <w:t>The American Naturalist</w:t>
      </w:r>
      <w:r>
        <w:rPr>
          <w:b w:val="false"/>
          <w:bCs w:val="false"/>
        </w:rPr>
        <w:t xml:space="preserve">, </w:t>
      </w:r>
      <w:r>
        <w:rPr>
          <w:b w:val="false"/>
          <w:bCs w:val="false"/>
          <w:i/>
        </w:rPr>
        <w:t>104</w:t>
      </w:r>
      <w:r>
        <w:rPr>
          <w:b w:val="false"/>
          <w:bCs w:val="false"/>
        </w:rPr>
        <w:t>(940), 501–528.</w:t>
      </w:r>
    </w:p>
    <w:p>
      <w:pPr>
        <w:pStyle w:val="Normal"/>
        <w:bidi w:val="0"/>
        <w:spacing w:lineRule="auto" w:line="480"/>
        <w:jc w:val="left"/>
        <w:rPr/>
      </w:pPr>
      <w:r>
        <w:rPr>
          <w:b w:val="false"/>
          <w:bCs w:val="false"/>
        </w:rPr>
        <w:t xml:space="preserve">Jia, S., Wang, X., Yuan, Z., Lin, F., Ye, J., Hao, Z., &amp; Luskin, M. S. (2018). Global signal of top-down control of terrestrial plant communities by herbivores. </w:t>
      </w:r>
      <w:r>
        <w:rPr>
          <w:b w:val="false"/>
          <w:bCs w:val="false"/>
          <w:i/>
        </w:rPr>
        <w:t>Proceedings of the National Academy of Sciences</w:t>
      </w:r>
      <w:r>
        <w:rPr>
          <w:b w:val="false"/>
          <w:bCs w:val="false"/>
        </w:rPr>
        <w:t xml:space="preserve">, </w:t>
      </w:r>
      <w:r>
        <w:rPr>
          <w:b w:val="false"/>
          <w:bCs w:val="false"/>
          <w:i/>
        </w:rPr>
        <w:t>115</w:t>
      </w:r>
      <w:r>
        <w:rPr>
          <w:b w:val="false"/>
          <w:bCs w:val="false"/>
        </w:rPr>
        <w:t>(24), 6237–6242. doi:</w:t>
      </w:r>
      <w:hyperlink r:id="rId32">
        <w:r>
          <w:rPr>
            <w:rStyle w:val="InternetLink"/>
            <w:b w:val="false"/>
            <w:bCs w:val="false"/>
          </w:rPr>
          <w:t>10.1073/pnas.1707984115</w:t>
        </w:r>
      </w:hyperlink>
    </w:p>
    <w:p>
      <w:pPr>
        <w:pStyle w:val="Normal"/>
        <w:bidi w:val="0"/>
        <w:spacing w:lineRule="auto" w:line="480"/>
        <w:jc w:val="left"/>
        <w:rPr/>
      </w:pPr>
      <w:r>
        <w:rPr>
          <w:b w:val="false"/>
          <w:bCs w:val="false"/>
        </w:rPr>
        <w:t xml:space="preserve">Kardol, P., Bezemer, T. M., &amp; van der Putten, W. H. (2006). Temporal variation in plant-soil feedback controls succession. </w:t>
      </w:r>
      <w:r>
        <w:rPr>
          <w:b w:val="false"/>
          <w:bCs w:val="false"/>
          <w:i/>
        </w:rPr>
        <w:t>Ecology Letters</w:t>
      </w:r>
      <w:r>
        <w:rPr>
          <w:b w:val="false"/>
          <w:bCs w:val="false"/>
        </w:rPr>
        <w:t xml:space="preserve">, </w:t>
      </w:r>
      <w:r>
        <w:rPr>
          <w:b w:val="false"/>
          <w:bCs w:val="false"/>
          <w:i/>
        </w:rPr>
        <w:t>9</w:t>
      </w:r>
      <w:r>
        <w:rPr>
          <w:b w:val="false"/>
          <w:bCs w:val="false"/>
        </w:rPr>
        <w:t>(9), 1080–1088. doi:</w:t>
      </w:r>
      <w:hyperlink r:id="rId33">
        <w:r>
          <w:rPr>
            <w:rStyle w:val="InternetLink"/>
            <w:b w:val="false"/>
            <w:bCs w:val="false"/>
          </w:rPr>
          <w:t>10.1111/j.1461-0248.2006.00953.x</w:t>
        </w:r>
      </w:hyperlink>
    </w:p>
    <w:p>
      <w:pPr>
        <w:pStyle w:val="Normal"/>
        <w:bidi w:val="0"/>
        <w:spacing w:lineRule="auto" w:line="480"/>
        <w:jc w:val="left"/>
        <w:rPr/>
      </w:pPr>
      <w:r>
        <w:rPr>
          <w:b w:val="false"/>
          <w:bCs w:val="false"/>
        </w:rPr>
        <w:t xml:space="preserve">Kempel, A., Razanajatovo, M., Stein, C., Unsicker, S. B., Auge, H., Weisser, W. W., … Prati, D. (2015). Herbivore preference drives plant community composition. </w:t>
      </w:r>
      <w:r>
        <w:rPr>
          <w:b w:val="false"/>
          <w:bCs w:val="false"/>
          <w:i/>
        </w:rPr>
        <w:t>Ecology</w:t>
      </w:r>
      <w:r>
        <w:rPr>
          <w:b w:val="false"/>
          <w:bCs w:val="false"/>
        </w:rPr>
        <w:t xml:space="preserve">, </w:t>
      </w:r>
      <w:r>
        <w:rPr>
          <w:b w:val="false"/>
          <w:bCs w:val="false"/>
          <w:i/>
        </w:rPr>
        <w:t>96</w:t>
      </w:r>
      <w:r>
        <w:rPr>
          <w:b w:val="false"/>
          <w:bCs w:val="false"/>
        </w:rPr>
        <w:t>(11), 2923–2934. doi:</w:t>
      </w:r>
      <w:hyperlink r:id="rId34">
        <w:r>
          <w:rPr>
            <w:rStyle w:val="InternetLink"/>
            <w:b w:val="false"/>
            <w:bCs w:val="false"/>
          </w:rPr>
          <w:t>10.1890/14-2125.1</w:t>
        </w:r>
      </w:hyperlink>
    </w:p>
    <w:p>
      <w:pPr>
        <w:pStyle w:val="Normal"/>
        <w:bidi w:val="0"/>
        <w:spacing w:lineRule="auto" w:line="480"/>
        <w:jc w:val="left"/>
        <w:rPr/>
      </w:pPr>
      <w:r>
        <w:rPr>
          <w:b w:val="false"/>
          <w:bCs w:val="false"/>
        </w:rPr>
        <w:t xml:space="preserve">Klimes, P., Janda, M., Ibalim, S., Kua, J., &amp; Novotny, V. (2011). Experimental suppression of ants foraging on rainforest vegetation in New Guinea: testing methods for a whole-forest manipulation of insect communities. </w:t>
      </w:r>
      <w:r>
        <w:rPr>
          <w:b w:val="false"/>
          <w:bCs w:val="false"/>
          <w:i/>
        </w:rPr>
        <w:t>Ecological Entomology</w:t>
      </w:r>
      <w:r>
        <w:rPr>
          <w:b w:val="false"/>
          <w:bCs w:val="false"/>
        </w:rPr>
        <w:t xml:space="preserve">, </w:t>
      </w:r>
      <w:r>
        <w:rPr>
          <w:b w:val="false"/>
          <w:bCs w:val="false"/>
          <w:i/>
        </w:rPr>
        <w:t>36</w:t>
      </w:r>
      <w:r>
        <w:rPr>
          <w:b w:val="false"/>
          <w:bCs w:val="false"/>
        </w:rPr>
        <w:t>(1), 94–103. doi:10.1111/j.1365-2311.2010.01250.x</w:t>
      </w:r>
    </w:p>
    <w:p>
      <w:pPr>
        <w:pStyle w:val="Normal"/>
        <w:bidi w:val="0"/>
        <w:spacing w:lineRule="auto" w:line="480"/>
        <w:jc w:val="left"/>
        <w:rPr/>
      </w:pPr>
      <w:r>
        <w:rPr>
          <w:b w:val="false"/>
          <w:bCs w:val="false"/>
        </w:rPr>
        <w:t xml:space="preserve">Koziol, L., &amp; Bever, J. D. (2016). AMF, phylogeny, and succession: specificity of response to mycorrhizal fungi increases for late-successional plants. </w:t>
      </w:r>
      <w:r>
        <w:rPr>
          <w:b w:val="false"/>
          <w:bCs w:val="false"/>
          <w:i/>
        </w:rPr>
        <w:t>Ecosphere</w:t>
      </w:r>
      <w:r>
        <w:rPr>
          <w:b w:val="false"/>
          <w:bCs w:val="false"/>
        </w:rPr>
        <w:t xml:space="preserve">, </w:t>
      </w:r>
      <w:r>
        <w:rPr>
          <w:b w:val="false"/>
          <w:bCs w:val="false"/>
          <w:i/>
        </w:rPr>
        <w:t>7</w:t>
      </w:r>
      <w:r>
        <w:rPr>
          <w:b w:val="false"/>
          <w:bCs w:val="false"/>
        </w:rPr>
        <w:t>(11), e01555. doi:</w:t>
      </w:r>
      <w:hyperlink r:id="rId35">
        <w:r>
          <w:rPr>
            <w:rStyle w:val="InternetLink"/>
            <w:b w:val="false"/>
            <w:bCs w:val="false"/>
          </w:rPr>
          <w:t>10.1002/ecs2.1555</w:t>
        </w:r>
      </w:hyperlink>
    </w:p>
    <w:p>
      <w:pPr>
        <w:pStyle w:val="Normal"/>
        <w:bidi w:val="0"/>
        <w:spacing w:lineRule="auto" w:line="480"/>
        <w:jc w:val="left"/>
        <w:rPr/>
      </w:pPr>
      <w:r>
        <w:rPr>
          <w:b w:val="false"/>
          <w:bCs w:val="false"/>
        </w:rPr>
        <w:t xml:space="preserve">Kukla, J., Whitfeld, T., Cajthaml, T., Baldrian, P., Veselá‐Šimáčková, H., Novotný, V., &amp; Frouz, J. (2019). The effect of traditional slash-and-burn agriculture on soil organic matter, nutrient content, and microbiota in tropical ecosystems of Papua New Guinea. </w:t>
      </w:r>
      <w:r>
        <w:rPr>
          <w:b w:val="false"/>
          <w:bCs w:val="false"/>
          <w:i/>
        </w:rPr>
        <w:t>Land Degradation &amp; Development</w:t>
      </w:r>
      <w:r>
        <w:rPr>
          <w:b w:val="false"/>
          <w:bCs w:val="false"/>
        </w:rPr>
        <w:t xml:space="preserve">, </w:t>
      </w:r>
      <w:r>
        <w:rPr>
          <w:b w:val="false"/>
          <w:bCs w:val="false"/>
          <w:i/>
        </w:rPr>
        <w:t>30</w:t>
      </w:r>
      <w:r>
        <w:rPr>
          <w:b w:val="false"/>
          <w:bCs w:val="false"/>
        </w:rPr>
        <w:t>(2), 166–177. doi:</w:t>
      </w:r>
      <w:hyperlink r:id="rId36">
        <w:r>
          <w:rPr>
            <w:rStyle w:val="InternetLink"/>
            <w:b w:val="false"/>
            <w:bCs w:val="false"/>
          </w:rPr>
          <w:t>10.1002/ldr.3203</w:t>
        </w:r>
      </w:hyperlink>
    </w:p>
    <w:p>
      <w:pPr>
        <w:pStyle w:val="Normal"/>
        <w:bidi w:val="0"/>
        <w:spacing w:lineRule="auto" w:line="480"/>
        <w:jc w:val="left"/>
        <w:rPr/>
      </w:pPr>
      <w:r>
        <w:rPr>
          <w:b w:val="false"/>
          <w:bCs w:val="false"/>
        </w:rPr>
        <w:t xml:space="preserve">Kunstler, G., Falster, D., Coomes, D. A., Hui, F., Kooyman, R. M., Laughlin, D. C., … Westoby, M. (2016). Plant functional traits have globally consistent effects on competition. </w:t>
      </w:r>
      <w:r>
        <w:rPr>
          <w:b w:val="false"/>
          <w:bCs w:val="false"/>
          <w:i/>
        </w:rPr>
        <w:t>Nature</w:t>
      </w:r>
      <w:r>
        <w:rPr>
          <w:b w:val="false"/>
          <w:bCs w:val="false"/>
        </w:rPr>
        <w:t xml:space="preserve">, </w:t>
      </w:r>
      <w:r>
        <w:rPr>
          <w:b w:val="false"/>
          <w:bCs w:val="false"/>
          <w:i/>
        </w:rPr>
        <w:t>529</w:t>
      </w:r>
      <w:r>
        <w:rPr>
          <w:b w:val="false"/>
          <w:bCs w:val="false"/>
        </w:rPr>
        <w:t>(7585), 204–207. doi:</w:t>
      </w:r>
      <w:hyperlink r:id="rId37">
        <w:r>
          <w:rPr>
            <w:rStyle w:val="InternetLink"/>
            <w:b w:val="false"/>
            <w:bCs w:val="false"/>
          </w:rPr>
          <w:t>10.1038/nature16476</w:t>
        </w:r>
      </w:hyperlink>
    </w:p>
    <w:p>
      <w:pPr>
        <w:pStyle w:val="Normal"/>
        <w:bidi w:val="0"/>
        <w:spacing w:lineRule="auto" w:line="480"/>
        <w:jc w:val="left"/>
        <w:rPr/>
      </w:pPr>
      <w:r>
        <w:rPr>
          <w:b w:val="false"/>
          <w:bCs w:val="false"/>
        </w:rPr>
        <w:t xml:space="preserve">Kuznetsova, A., Brockhoff, P. B., &amp; Christensen, R. H. B. (2017). lmerTest Package: Tests in Linear Mixed Effects Models. </w:t>
      </w:r>
      <w:r>
        <w:rPr>
          <w:b w:val="false"/>
          <w:bCs w:val="false"/>
          <w:i/>
        </w:rPr>
        <w:t>Journal of Statistical Software</w:t>
      </w:r>
      <w:r>
        <w:rPr>
          <w:b w:val="false"/>
          <w:bCs w:val="false"/>
        </w:rPr>
        <w:t xml:space="preserve">, </w:t>
      </w:r>
      <w:r>
        <w:rPr>
          <w:b w:val="false"/>
          <w:bCs w:val="false"/>
          <w:i/>
        </w:rPr>
        <w:t>82</w:t>
      </w:r>
      <w:r>
        <w:rPr>
          <w:b w:val="false"/>
          <w:bCs w:val="false"/>
        </w:rPr>
        <w:t>(1), 1–26. doi:</w:t>
      </w:r>
      <w:hyperlink r:id="rId38">
        <w:r>
          <w:rPr>
            <w:rStyle w:val="InternetLink"/>
            <w:b w:val="false"/>
            <w:bCs w:val="false"/>
          </w:rPr>
          <w:t>10.18637/jss.v082.i13</w:t>
        </w:r>
      </w:hyperlink>
    </w:p>
    <w:p>
      <w:pPr>
        <w:pStyle w:val="Normal"/>
        <w:bidi w:val="0"/>
        <w:spacing w:lineRule="auto" w:line="480"/>
        <w:jc w:val="left"/>
        <w:rPr/>
      </w:pPr>
      <w:r>
        <w:rPr>
          <w:b w:val="false"/>
          <w:bCs w:val="false"/>
        </w:rPr>
        <w:t xml:space="preserve">Lasky, J. R., Uriarte, M., Boukili, V. K., &amp; Chazdon, R. L. (2014). Trait-mediated assembly processes predict successional changes in community diversity of tropical forests. </w:t>
      </w:r>
      <w:r>
        <w:rPr>
          <w:b w:val="false"/>
          <w:bCs w:val="false"/>
          <w:i/>
        </w:rPr>
        <w:t>Proceedings of the National Academy of Sciences</w:t>
      </w:r>
      <w:r>
        <w:rPr>
          <w:b w:val="false"/>
          <w:bCs w:val="false"/>
        </w:rPr>
        <w:t xml:space="preserve">, </w:t>
      </w:r>
      <w:r>
        <w:rPr>
          <w:b w:val="false"/>
          <w:bCs w:val="false"/>
          <w:i/>
        </w:rPr>
        <w:t>111</w:t>
      </w:r>
      <w:r>
        <w:rPr>
          <w:b w:val="false"/>
          <w:bCs w:val="false"/>
        </w:rPr>
        <w:t>(15), 5616–5621. doi:</w:t>
      </w:r>
      <w:hyperlink r:id="rId39">
        <w:r>
          <w:rPr>
            <w:rStyle w:val="InternetLink"/>
            <w:b w:val="false"/>
            <w:bCs w:val="false"/>
          </w:rPr>
          <w:t>10.1073/pnas.1319342111</w:t>
        </w:r>
      </w:hyperlink>
    </w:p>
    <w:p>
      <w:pPr>
        <w:pStyle w:val="Normal"/>
        <w:bidi w:val="0"/>
        <w:spacing w:lineRule="auto" w:line="480"/>
        <w:jc w:val="left"/>
        <w:rPr/>
      </w:pPr>
      <w:r>
        <w:rPr>
          <w:b w:val="false"/>
          <w:bCs w:val="false"/>
        </w:rPr>
        <w:t xml:space="preserve">Leles, B., Xiao, X., Pasion, B. O., Nakamura, A., &amp; Tomlinson, K. W. (2017). Does plant diversity increase top–down control of herbivorous insects in tropical forest? </w:t>
      </w:r>
      <w:r>
        <w:rPr>
          <w:b w:val="false"/>
          <w:bCs w:val="false"/>
          <w:i/>
        </w:rPr>
        <w:t>Oikos</w:t>
      </w:r>
      <w:r>
        <w:rPr>
          <w:b w:val="false"/>
          <w:bCs w:val="false"/>
        </w:rPr>
        <w:t xml:space="preserve">, </w:t>
      </w:r>
      <w:r>
        <w:rPr>
          <w:b w:val="false"/>
          <w:bCs w:val="false"/>
          <w:i/>
        </w:rPr>
        <w:t>126</w:t>
      </w:r>
      <w:r>
        <w:rPr>
          <w:b w:val="false"/>
          <w:bCs w:val="false"/>
        </w:rPr>
        <w:t>(8), 1142–1149. doi:</w:t>
      </w:r>
      <w:hyperlink r:id="rId40">
        <w:r>
          <w:rPr>
            <w:rStyle w:val="InternetLink"/>
            <w:b w:val="false"/>
            <w:bCs w:val="false"/>
          </w:rPr>
          <w:t>10.1111/oik.03562</w:t>
        </w:r>
      </w:hyperlink>
    </w:p>
    <w:p>
      <w:pPr>
        <w:pStyle w:val="Normal"/>
        <w:bidi w:val="0"/>
        <w:spacing w:lineRule="auto" w:line="480"/>
        <w:jc w:val="left"/>
        <w:rPr/>
      </w:pPr>
      <w:r>
        <w:rPr>
          <w:b w:val="false"/>
          <w:bCs w:val="false"/>
        </w:rPr>
        <w:t xml:space="preserve">Lenth, R., Singmann, H., Love, J., Buerkner, P., &amp; Herve, M. (2019). emmeans: Estimated Marginal Means, aka Least-Squares Means (Version 1.3.2). Retrieved from </w:t>
      </w:r>
      <w:hyperlink r:id="rId41">
        <w:r>
          <w:rPr>
            <w:rStyle w:val="InternetLink"/>
            <w:b w:val="false"/>
            <w:bCs w:val="false"/>
          </w:rPr>
          <w:t>https://CRAN.R-project.org/package=emmeans</w:t>
        </w:r>
      </w:hyperlink>
    </w:p>
    <w:p>
      <w:pPr>
        <w:pStyle w:val="Normal"/>
        <w:bidi w:val="0"/>
        <w:spacing w:lineRule="auto" w:line="480"/>
        <w:jc w:val="left"/>
        <w:rPr/>
      </w:pPr>
      <w:r>
        <w:rPr>
          <w:b w:val="false"/>
          <w:bCs w:val="false"/>
        </w:rPr>
        <w:t xml:space="preserve">Lepš, J., Novotný, V., &amp; Basset, Y. (2001). Habitat and Successional Status of Plants in Relation to the Communities of Their Leaf-Chewing Herbivores in Papua New Guinea. </w:t>
      </w:r>
      <w:r>
        <w:rPr>
          <w:b w:val="false"/>
          <w:bCs w:val="false"/>
          <w:i/>
        </w:rPr>
        <w:t>Journal of Ecology</w:t>
      </w:r>
      <w:r>
        <w:rPr>
          <w:b w:val="false"/>
          <w:bCs w:val="false"/>
        </w:rPr>
        <w:t xml:space="preserve">, </w:t>
      </w:r>
      <w:r>
        <w:rPr>
          <w:b w:val="false"/>
          <w:bCs w:val="false"/>
          <w:i/>
        </w:rPr>
        <w:t>89</w:t>
      </w:r>
      <w:r>
        <w:rPr>
          <w:b w:val="false"/>
          <w:bCs w:val="false"/>
        </w:rPr>
        <w:t>(2), 186–199.</w:t>
      </w:r>
    </w:p>
    <w:p>
      <w:pPr>
        <w:pStyle w:val="Normal"/>
        <w:bidi w:val="0"/>
        <w:spacing w:lineRule="auto" w:line="480"/>
        <w:jc w:val="left"/>
        <w:rPr/>
      </w:pPr>
      <w:r>
        <w:rPr>
          <w:b w:val="false"/>
          <w:bCs w:val="false"/>
        </w:rPr>
        <w:t xml:space="preserve">Letourneau, D. K., &amp; Dyer, L. A. (1998). Experimental Test in Lowland Tropical Forest Shows Top-down Effects Through Four Trophic Levels. </w:t>
      </w:r>
      <w:r>
        <w:rPr>
          <w:b w:val="false"/>
          <w:bCs w:val="false"/>
          <w:i/>
        </w:rPr>
        <w:t>Ecology</w:t>
      </w:r>
      <w:r>
        <w:rPr>
          <w:b w:val="false"/>
          <w:bCs w:val="false"/>
        </w:rPr>
        <w:t xml:space="preserve">, </w:t>
      </w:r>
      <w:r>
        <w:rPr>
          <w:b w:val="false"/>
          <w:bCs w:val="false"/>
          <w:i/>
        </w:rPr>
        <w:t>79</w:t>
      </w:r>
      <w:r>
        <w:rPr>
          <w:b w:val="false"/>
          <w:bCs w:val="false"/>
        </w:rPr>
        <w:t>(5), 1678–1687. doi:</w:t>
      </w:r>
      <w:hyperlink r:id="rId42">
        <w:r>
          <w:rPr>
            <w:rStyle w:val="InternetLink"/>
            <w:b w:val="false"/>
            <w:bCs w:val="false"/>
          </w:rPr>
          <w:t>10.1890/0012-9658(1998)079[1678:ETILTF]2.0.CO;2</w:t>
        </w:r>
      </w:hyperlink>
    </w:p>
    <w:p>
      <w:pPr>
        <w:pStyle w:val="Normal"/>
        <w:bidi w:val="0"/>
        <w:spacing w:lineRule="auto" w:line="480"/>
        <w:jc w:val="left"/>
        <w:rPr/>
      </w:pPr>
      <w:r>
        <w:rPr>
          <w:b w:val="false"/>
          <w:bCs w:val="false"/>
        </w:rPr>
        <w:t xml:space="preserve">Mangan, S. A., Schnitzer, S. A., Herre, E. A., Mack, K. M. L., Valencia, M. C., Sanchez, E. I., &amp; Bever, J. D. (2010). Negative plant-soil feedback predicts tree-species relative abundance in a tropical forest. </w:t>
      </w:r>
      <w:r>
        <w:rPr>
          <w:b w:val="false"/>
          <w:bCs w:val="false"/>
          <w:i/>
        </w:rPr>
        <w:t>Nature</w:t>
      </w:r>
      <w:r>
        <w:rPr>
          <w:b w:val="false"/>
          <w:bCs w:val="false"/>
        </w:rPr>
        <w:t xml:space="preserve">, </w:t>
      </w:r>
      <w:r>
        <w:rPr>
          <w:b w:val="false"/>
          <w:bCs w:val="false"/>
          <w:i/>
        </w:rPr>
        <w:t>466</w:t>
      </w:r>
      <w:r>
        <w:rPr>
          <w:b w:val="false"/>
          <w:bCs w:val="false"/>
        </w:rPr>
        <w:t>(7307), 752–755. doi:</w:t>
      </w:r>
      <w:hyperlink r:id="rId43">
        <w:r>
          <w:rPr>
            <w:rStyle w:val="InternetLink"/>
            <w:b w:val="false"/>
            <w:bCs w:val="false"/>
          </w:rPr>
          <w:t>10.1038/nature09273</w:t>
        </w:r>
      </w:hyperlink>
    </w:p>
    <w:p>
      <w:pPr>
        <w:pStyle w:val="Normal"/>
        <w:bidi w:val="0"/>
        <w:spacing w:lineRule="auto" w:line="480"/>
        <w:jc w:val="left"/>
        <w:rPr/>
      </w:pPr>
      <w:r>
        <w:rPr>
          <w:b w:val="false"/>
          <w:bCs w:val="false"/>
        </w:rPr>
        <w:t xml:space="preserve">Maron, J. L., Auge, H., Pearson, D. E., Korell, L., Hensen, I., Suding, K. N., &amp; Stein, C. (2014). Staged invasions across disparate grasslands: effects of seed provenance, consumers and disturbance on productivity and species richness. </w:t>
      </w:r>
      <w:r>
        <w:rPr>
          <w:b w:val="false"/>
          <w:bCs w:val="false"/>
          <w:i/>
        </w:rPr>
        <w:t>Ecology Letters</w:t>
      </w:r>
      <w:r>
        <w:rPr>
          <w:b w:val="false"/>
          <w:bCs w:val="false"/>
        </w:rPr>
        <w:t xml:space="preserve">, </w:t>
      </w:r>
      <w:r>
        <w:rPr>
          <w:b w:val="false"/>
          <w:bCs w:val="false"/>
          <w:i/>
        </w:rPr>
        <w:t>17</w:t>
      </w:r>
      <w:r>
        <w:rPr>
          <w:b w:val="false"/>
          <w:bCs w:val="false"/>
        </w:rPr>
        <w:t>(4), 499–507. doi:10.1111/ele.12250</w:t>
      </w:r>
    </w:p>
    <w:p>
      <w:pPr>
        <w:pStyle w:val="Normal"/>
        <w:bidi w:val="0"/>
        <w:spacing w:lineRule="auto" w:line="480"/>
        <w:jc w:val="left"/>
        <w:rPr/>
      </w:pPr>
      <w:r>
        <w:rPr>
          <w:b w:val="false"/>
          <w:bCs w:val="false"/>
        </w:rPr>
        <w:t xml:space="preserve">Marquis, R. J., Diniz, I. R., &amp; Morais, H. C. (2001). Patterns and correlates of interspecific variation in foliar insect herbivory and pathogen attack in Brazilian cerrado. </w:t>
      </w:r>
      <w:r>
        <w:rPr>
          <w:b w:val="false"/>
          <w:bCs w:val="false"/>
          <w:i/>
        </w:rPr>
        <w:t>Journal of Tropical Ecology</w:t>
      </w:r>
      <w:r>
        <w:rPr>
          <w:b w:val="false"/>
          <w:bCs w:val="false"/>
        </w:rPr>
        <w:t xml:space="preserve">, </w:t>
      </w:r>
      <w:r>
        <w:rPr>
          <w:b w:val="false"/>
          <w:bCs w:val="false"/>
          <w:i/>
        </w:rPr>
        <w:t>17</w:t>
      </w:r>
      <w:r>
        <w:rPr>
          <w:b w:val="false"/>
          <w:bCs w:val="false"/>
        </w:rPr>
        <w:t>(1), 127–148. doi:</w:t>
      </w:r>
      <w:hyperlink r:id="rId44">
        <w:r>
          <w:rPr>
            <w:rStyle w:val="InternetLink"/>
            <w:b w:val="false"/>
            <w:bCs w:val="false"/>
          </w:rPr>
          <w:t>10.1017/S0266467401001080</w:t>
        </w:r>
      </w:hyperlink>
    </w:p>
    <w:p>
      <w:pPr>
        <w:pStyle w:val="Normal"/>
        <w:bidi w:val="0"/>
        <w:spacing w:lineRule="auto" w:line="480"/>
        <w:jc w:val="left"/>
        <w:rPr/>
      </w:pPr>
      <w:r>
        <w:rPr>
          <w:b w:val="false"/>
          <w:bCs w:val="false"/>
        </w:rPr>
        <w:t xml:space="preserve">McAlpine, J. R., Keig, G., &amp; Falls, R. (1983). </w:t>
      </w:r>
      <w:r>
        <w:rPr>
          <w:b w:val="false"/>
          <w:bCs w:val="false"/>
          <w:i/>
        </w:rPr>
        <w:t>Climate of Papua New Guinea</w:t>
      </w:r>
      <w:r>
        <w:rPr>
          <w:b w:val="false"/>
          <w:bCs w:val="false"/>
        </w:rPr>
        <w:t>. Commonwealth Scientific and Industrial Research Organization.</w:t>
      </w:r>
    </w:p>
    <w:p>
      <w:pPr>
        <w:pStyle w:val="Normal"/>
        <w:bidi w:val="0"/>
        <w:spacing w:lineRule="auto" w:line="480"/>
        <w:jc w:val="left"/>
        <w:rPr/>
      </w:pPr>
      <w:r>
        <w:rPr>
          <w:b w:val="false"/>
          <w:bCs w:val="false"/>
        </w:rPr>
        <w:t xml:space="preserve">Mesquita, R. C. G., Ickes, K., Ganade, G., &amp; Williamson, G. B. (2001). Alternative successional pathways in the Amazon Basin. </w:t>
      </w:r>
      <w:r>
        <w:rPr>
          <w:b w:val="false"/>
          <w:bCs w:val="false"/>
          <w:i/>
        </w:rPr>
        <w:t>Journal of Ecology</w:t>
      </w:r>
      <w:r>
        <w:rPr>
          <w:b w:val="false"/>
          <w:bCs w:val="false"/>
        </w:rPr>
        <w:t xml:space="preserve">, </w:t>
      </w:r>
      <w:r>
        <w:rPr>
          <w:b w:val="false"/>
          <w:bCs w:val="false"/>
          <w:i/>
        </w:rPr>
        <w:t>89</w:t>
      </w:r>
      <w:r>
        <w:rPr>
          <w:b w:val="false"/>
          <w:bCs w:val="false"/>
        </w:rPr>
        <w:t>(4), 528–537. doi:</w:t>
      </w:r>
      <w:hyperlink r:id="rId45">
        <w:r>
          <w:rPr>
            <w:rStyle w:val="InternetLink"/>
            <w:b w:val="false"/>
            <w:bCs w:val="false"/>
          </w:rPr>
          <w:t>10.1046/j.1365-2745.2001.00583.x</w:t>
        </w:r>
      </w:hyperlink>
    </w:p>
    <w:p>
      <w:pPr>
        <w:pStyle w:val="Normal"/>
        <w:bidi w:val="0"/>
        <w:spacing w:lineRule="auto" w:line="480"/>
        <w:jc w:val="left"/>
        <w:rPr/>
      </w:pPr>
      <w:r>
        <w:rPr>
          <w:b w:val="false"/>
          <w:bCs w:val="false"/>
        </w:rPr>
        <w:t xml:space="preserve">Mesquita, R. de C. G., Massoca, P. E. dos S., Jakovac, C. C., Bentos, T. V., &amp; Williamson, G. B. (2015). Amazon Rain Forest Succession: Stochasticity or Land-Use Legacy? </w:t>
      </w:r>
      <w:r>
        <w:rPr>
          <w:b w:val="false"/>
          <w:bCs w:val="false"/>
          <w:i/>
        </w:rPr>
        <w:t>BioScience</w:t>
      </w:r>
      <w:r>
        <w:rPr>
          <w:b w:val="false"/>
          <w:bCs w:val="false"/>
        </w:rPr>
        <w:t xml:space="preserve">, </w:t>
      </w:r>
      <w:r>
        <w:rPr>
          <w:b w:val="false"/>
          <w:bCs w:val="false"/>
          <w:i/>
        </w:rPr>
        <w:t>65</w:t>
      </w:r>
      <w:r>
        <w:rPr>
          <w:b w:val="false"/>
          <w:bCs w:val="false"/>
        </w:rPr>
        <w:t>(9), 849–861. doi:</w:t>
      </w:r>
      <w:hyperlink r:id="rId46">
        <w:r>
          <w:rPr>
            <w:rStyle w:val="InternetLink"/>
            <w:b w:val="false"/>
            <w:bCs w:val="false"/>
          </w:rPr>
          <w:t>10.1093/biosci/biv108</w:t>
        </w:r>
      </w:hyperlink>
    </w:p>
    <w:p>
      <w:pPr>
        <w:pStyle w:val="Normal"/>
        <w:bidi w:val="0"/>
        <w:spacing w:lineRule="auto" w:line="480"/>
        <w:jc w:val="left"/>
        <w:rPr/>
      </w:pPr>
      <w:r>
        <w:rPr>
          <w:b w:val="false"/>
          <w:bCs w:val="false"/>
        </w:rPr>
        <w:t xml:space="preserve">Milton, Y., &amp; Kaspari, M. (2007). Bottom-up and top-down regulation of decomposition in a tropical forest. </w:t>
      </w:r>
      <w:r>
        <w:rPr>
          <w:b w:val="false"/>
          <w:bCs w:val="false"/>
          <w:i/>
        </w:rPr>
        <w:t>Oecologia</w:t>
      </w:r>
      <w:r>
        <w:rPr>
          <w:b w:val="false"/>
          <w:bCs w:val="false"/>
        </w:rPr>
        <w:t xml:space="preserve">, </w:t>
      </w:r>
      <w:r>
        <w:rPr>
          <w:b w:val="false"/>
          <w:bCs w:val="false"/>
          <w:i/>
        </w:rPr>
        <w:t>153</w:t>
      </w:r>
      <w:r>
        <w:rPr>
          <w:b w:val="false"/>
          <w:bCs w:val="false"/>
        </w:rPr>
        <w:t>(1), 163–172. doi:</w:t>
      </w:r>
      <w:hyperlink r:id="rId47">
        <w:r>
          <w:rPr>
            <w:rStyle w:val="InternetLink"/>
            <w:b w:val="false"/>
            <w:bCs w:val="false"/>
          </w:rPr>
          <w:t>10.1007/s00442-007-0710-6</w:t>
        </w:r>
      </w:hyperlink>
    </w:p>
    <w:p>
      <w:pPr>
        <w:pStyle w:val="Normal"/>
        <w:bidi w:val="0"/>
        <w:spacing w:lineRule="auto" w:line="480"/>
        <w:jc w:val="left"/>
        <w:rPr/>
      </w:pPr>
      <w:r>
        <w:rPr>
          <w:b w:val="false"/>
          <w:bCs w:val="false"/>
        </w:rPr>
        <w:t xml:space="preserve">Mooney, K. A., Gruner, D. S., Barber, N. A., Bael, S. A. V., Philpott, S. M., &amp; Greenberg, R. (2010). Interactions among predators and the cascading effects of vertebrate insectivores on arthropod communities and plants. </w:t>
      </w:r>
      <w:r>
        <w:rPr>
          <w:b w:val="false"/>
          <w:bCs w:val="false"/>
          <w:i/>
        </w:rPr>
        <w:t>Proceedings of the National Academy of Sciences</w:t>
      </w:r>
      <w:r>
        <w:rPr>
          <w:b w:val="false"/>
          <w:bCs w:val="false"/>
        </w:rPr>
        <w:t xml:space="preserve">, </w:t>
      </w:r>
      <w:r>
        <w:rPr>
          <w:b w:val="false"/>
          <w:bCs w:val="false"/>
          <w:i/>
        </w:rPr>
        <w:t>107</w:t>
      </w:r>
      <w:r>
        <w:rPr>
          <w:b w:val="false"/>
          <w:bCs w:val="false"/>
        </w:rPr>
        <w:t>(16), 7335–7340. doi:</w:t>
      </w:r>
      <w:hyperlink r:id="rId48">
        <w:r>
          <w:rPr>
            <w:rStyle w:val="InternetLink"/>
            <w:b w:val="false"/>
            <w:bCs w:val="false"/>
          </w:rPr>
          <w:t>10.1073/pnas.1001934107</w:t>
        </w:r>
      </w:hyperlink>
    </w:p>
    <w:p>
      <w:pPr>
        <w:pStyle w:val="Normal"/>
        <w:bidi w:val="0"/>
        <w:spacing w:lineRule="auto" w:line="480"/>
        <w:jc w:val="left"/>
        <w:rPr/>
      </w:pPr>
      <w:r>
        <w:rPr>
          <w:b w:val="false"/>
          <w:bCs w:val="false"/>
        </w:rPr>
        <w:t xml:space="preserve">Mordecai, E. A. (2011). Pathogen impacts on plant communities: unifying theory, concepts, and empirical work. </w:t>
      </w:r>
      <w:r>
        <w:rPr>
          <w:b w:val="false"/>
          <w:bCs w:val="false"/>
          <w:i/>
        </w:rPr>
        <w:t>Ecological Monographs</w:t>
      </w:r>
      <w:r>
        <w:rPr>
          <w:b w:val="false"/>
          <w:bCs w:val="false"/>
        </w:rPr>
        <w:t xml:space="preserve">, </w:t>
      </w:r>
      <w:r>
        <w:rPr>
          <w:b w:val="false"/>
          <w:bCs w:val="false"/>
          <w:i/>
        </w:rPr>
        <w:t>81</w:t>
      </w:r>
      <w:r>
        <w:rPr>
          <w:b w:val="false"/>
          <w:bCs w:val="false"/>
        </w:rPr>
        <w:t>(3), 429–441. doi:</w:t>
      </w:r>
      <w:hyperlink r:id="rId49">
        <w:r>
          <w:rPr>
            <w:rStyle w:val="InternetLink"/>
            <w:b w:val="false"/>
            <w:bCs w:val="false"/>
          </w:rPr>
          <w:t>10.1890/10-2241.1</w:t>
        </w:r>
      </w:hyperlink>
    </w:p>
    <w:p>
      <w:pPr>
        <w:pStyle w:val="Normal"/>
        <w:bidi w:val="0"/>
        <w:spacing w:lineRule="auto" w:line="480"/>
        <w:jc w:val="left"/>
        <w:rPr/>
      </w:pPr>
      <w:r>
        <w:rPr>
          <w:b w:val="false"/>
          <w:bCs w:val="false"/>
        </w:rPr>
        <w:t xml:space="preserve">Mortensen, B., Danielson, B., Harpole, W. S., Alberti, J., Arnillas, C. A., Biederman, L., … Seabloom, E. W. (2018). Herbivores safeguard plant diversity by reducing variability in dominance. </w:t>
      </w:r>
      <w:r>
        <w:rPr>
          <w:b w:val="false"/>
          <w:bCs w:val="false"/>
          <w:i/>
        </w:rPr>
        <w:t>Journal of Ecology</w:t>
      </w:r>
      <w:r>
        <w:rPr>
          <w:b w:val="false"/>
          <w:bCs w:val="false"/>
        </w:rPr>
        <w:t xml:space="preserve">, </w:t>
      </w:r>
      <w:r>
        <w:rPr>
          <w:b w:val="false"/>
          <w:bCs w:val="false"/>
          <w:i/>
        </w:rPr>
        <w:t>106</w:t>
      </w:r>
      <w:r>
        <w:rPr>
          <w:b w:val="false"/>
          <w:bCs w:val="false"/>
        </w:rPr>
        <w:t>(1), 101–112. doi:</w:t>
      </w:r>
      <w:hyperlink r:id="rId50">
        <w:r>
          <w:rPr>
            <w:rStyle w:val="InternetLink"/>
            <w:b w:val="false"/>
            <w:bCs w:val="false"/>
          </w:rPr>
          <w:t>10.1111/1365-2745.12821</w:t>
        </w:r>
      </w:hyperlink>
    </w:p>
    <w:p>
      <w:pPr>
        <w:pStyle w:val="Normal"/>
        <w:bidi w:val="0"/>
        <w:spacing w:lineRule="auto" w:line="480"/>
        <w:jc w:val="left"/>
        <w:rPr/>
      </w:pPr>
      <w:r>
        <w:rPr>
          <w:b w:val="false"/>
          <w:bCs w:val="false"/>
        </w:rPr>
        <w:t xml:space="preserve">Norden, N., Angarita, H. A., Bongers, F., Martínez-Ramos, M., Granzow-de la Cerda, I., van Breugel, M., … Chazdon, R. L. (2015). Successional dynamics in Neotropical forests are as uncertain as they are predictable. </w:t>
      </w:r>
      <w:r>
        <w:rPr>
          <w:b w:val="false"/>
          <w:bCs w:val="false"/>
          <w:i/>
        </w:rPr>
        <w:t>Proceedings of the National Academy of Sciences of the United States of America</w:t>
      </w:r>
      <w:r>
        <w:rPr>
          <w:b w:val="false"/>
          <w:bCs w:val="false"/>
        </w:rPr>
        <w:t xml:space="preserve">, </w:t>
      </w:r>
      <w:r>
        <w:rPr>
          <w:b w:val="false"/>
          <w:bCs w:val="false"/>
          <w:i/>
        </w:rPr>
        <w:t>112</w:t>
      </w:r>
      <w:r>
        <w:rPr>
          <w:b w:val="false"/>
          <w:bCs w:val="false"/>
        </w:rPr>
        <w:t>(26), 8013–8018. doi:</w:t>
      </w:r>
      <w:hyperlink r:id="rId51">
        <w:r>
          <w:rPr>
            <w:rStyle w:val="InternetLink"/>
            <w:b w:val="false"/>
            <w:bCs w:val="false"/>
          </w:rPr>
          <w:t>10.1073/pnas.1500403112</w:t>
        </w:r>
      </w:hyperlink>
    </w:p>
    <w:p>
      <w:pPr>
        <w:pStyle w:val="Normal"/>
        <w:bidi w:val="0"/>
        <w:spacing w:lineRule="auto" w:line="480"/>
        <w:jc w:val="left"/>
        <w:rPr/>
      </w:pPr>
      <w:r>
        <w:rPr>
          <w:b w:val="false"/>
          <w:bCs w:val="false"/>
        </w:rPr>
        <w:t xml:space="preserve">Norden, N., Chazdon, R. L., Chao, A., Jiang, Y.-H., &amp; Vílchez-Alvarado, B. (2009). Resilience of tropical rain forests: tree community reassembly in secondary forests. </w:t>
      </w:r>
      <w:r>
        <w:rPr>
          <w:b w:val="false"/>
          <w:bCs w:val="false"/>
          <w:i/>
        </w:rPr>
        <w:t>Ecology Letters</w:t>
      </w:r>
      <w:r>
        <w:rPr>
          <w:b w:val="false"/>
          <w:bCs w:val="false"/>
        </w:rPr>
        <w:t xml:space="preserve">, </w:t>
      </w:r>
      <w:r>
        <w:rPr>
          <w:b w:val="false"/>
          <w:bCs w:val="false"/>
          <w:i/>
        </w:rPr>
        <w:t>12</w:t>
      </w:r>
      <w:r>
        <w:rPr>
          <w:b w:val="false"/>
          <w:bCs w:val="false"/>
        </w:rPr>
        <w:t>(5), 385–394. doi:</w:t>
      </w:r>
      <w:hyperlink r:id="rId52">
        <w:r>
          <w:rPr>
            <w:rStyle w:val="InternetLink"/>
            <w:b w:val="false"/>
            <w:bCs w:val="false"/>
          </w:rPr>
          <w:t>10.1111/j.1461-0248.2009.01292.x</w:t>
        </w:r>
      </w:hyperlink>
    </w:p>
    <w:p>
      <w:pPr>
        <w:pStyle w:val="Normal"/>
        <w:bidi w:val="0"/>
        <w:spacing w:lineRule="auto" w:line="480"/>
        <w:jc w:val="left"/>
        <w:rPr/>
      </w:pPr>
      <w:r>
        <w:rPr>
          <w:b w:val="false"/>
          <w:bCs w:val="false"/>
        </w:rPr>
        <w:t xml:space="preserve">Novotny, V., Basset, Y., Miller, S. E., Kitching, R. L., Laidlaw, M., Drozd, P., &amp; Cizek, L. (2004). Local Species Richness of Leaf-Chewing Insects Feeding on Woody Plants from One Hectare of a Lowland Rainforest. </w:t>
      </w:r>
      <w:r>
        <w:rPr>
          <w:b w:val="false"/>
          <w:bCs w:val="false"/>
          <w:i/>
        </w:rPr>
        <w:t>Conservation Biology</w:t>
      </w:r>
      <w:r>
        <w:rPr>
          <w:b w:val="false"/>
          <w:bCs w:val="false"/>
        </w:rPr>
        <w:t xml:space="preserve">, </w:t>
      </w:r>
      <w:r>
        <w:rPr>
          <w:b w:val="false"/>
          <w:bCs w:val="false"/>
          <w:i/>
        </w:rPr>
        <w:t>18</w:t>
      </w:r>
      <w:r>
        <w:rPr>
          <w:b w:val="false"/>
          <w:bCs w:val="false"/>
        </w:rPr>
        <w:t>(1), 227–237. doi:</w:t>
      </w:r>
      <w:hyperlink r:id="rId53">
        <w:r>
          <w:rPr>
            <w:rStyle w:val="InternetLink"/>
            <w:b w:val="false"/>
            <w:bCs w:val="false"/>
          </w:rPr>
          <w:t>10.1111/j.1523-1739.2004.00293.x</w:t>
        </w:r>
      </w:hyperlink>
    </w:p>
    <w:p>
      <w:pPr>
        <w:pStyle w:val="Normal"/>
        <w:bidi w:val="0"/>
        <w:spacing w:lineRule="auto" w:line="480"/>
        <w:jc w:val="left"/>
        <w:rPr/>
      </w:pPr>
      <w:r>
        <w:rPr>
          <w:b w:val="false"/>
          <w:bCs w:val="false"/>
        </w:rPr>
        <w:t xml:space="preserve">Oksanen, J., Blanchet, F. G., Friendly, M., Kindt, R., Legendre, P., McGlinn, D., … Wagner, H. (2019). vegan: Community Ecology Package (Version 2.5-4). Retrieved from </w:t>
      </w:r>
      <w:hyperlink r:id="rId54">
        <w:r>
          <w:rPr>
            <w:rStyle w:val="InternetLink"/>
            <w:b w:val="false"/>
            <w:bCs w:val="false"/>
          </w:rPr>
          <w:t>https://CRAN.R-project.org/package=vegan</w:t>
        </w:r>
      </w:hyperlink>
    </w:p>
    <w:p>
      <w:pPr>
        <w:pStyle w:val="TextBody"/>
        <w:rPr/>
      </w:pPr>
      <w:r>
        <w:rPr>
          <w:rStyle w:val="InternetLink"/>
          <w:color w:val="auto"/>
          <w:u w:val="none"/>
        </w:rPr>
        <w:t xml:space="preserve">R Development Core Team. (2014). R: A language and environment for statistical computing. Vienna, Austria: R Foundation for Statistical Computing. Retrieved from </w:t>
      </w:r>
      <w:hyperlink r:id="rId55">
        <w:r>
          <w:rPr>
            <w:rStyle w:val="InternetLink"/>
            <w:color w:val="auto"/>
            <w:u w:val="none"/>
          </w:rPr>
          <w:t>https://www.R-project.org/</w:t>
        </w:r>
      </w:hyperlink>
    </w:p>
    <w:p>
      <w:pPr>
        <w:pStyle w:val="Normal"/>
        <w:bidi w:val="0"/>
        <w:spacing w:lineRule="auto" w:line="480"/>
        <w:jc w:val="left"/>
        <w:rPr/>
      </w:pPr>
      <w:r>
        <w:rPr>
          <w:b w:val="false"/>
          <w:bCs w:val="false"/>
        </w:rPr>
        <w:t xml:space="preserve">Racke, K. D., Skidmore, M. W., Hamilton, D. J., Unsworth, J. B., Miyamoto, J., &amp; Cohen, S. Z. (1997). Pesticides Report 38. Pesticide fate in tropical soils (Technical Report). </w:t>
      </w:r>
      <w:r>
        <w:rPr>
          <w:b w:val="false"/>
          <w:bCs w:val="false"/>
          <w:i/>
        </w:rPr>
        <w:t>Pure and Applied Chemistry</w:t>
      </w:r>
      <w:r>
        <w:rPr>
          <w:b w:val="false"/>
          <w:bCs w:val="false"/>
        </w:rPr>
        <w:t xml:space="preserve">, </w:t>
      </w:r>
      <w:r>
        <w:rPr>
          <w:b w:val="false"/>
          <w:bCs w:val="false"/>
          <w:i/>
        </w:rPr>
        <w:t>69</w:t>
      </w:r>
      <w:r>
        <w:rPr>
          <w:b w:val="false"/>
          <w:bCs w:val="false"/>
        </w:rPr>
        <w:t>(6), 1349–1372. doi:</w:t>
      </w:r>
      <w:hyperlink r:id="rId56">
        <w:r>
          <w:rPr>
            <w:rStyle w:val="InternetLink"/>
            <w:b w:val="false"/>
            <w:bCs w:val="false"/>
          </w:rPr>
          <w:t>10.1351/pac199769061349</w:t>
        </w:r>
      </w:hyperlink>
    </w:p>
    <w:p>
      <w:pPr>
        <w:pStyle w:val="Normal"/>
        <w:bidi w:val="0"/>
        <w:spacing w:lineRule="auto" w:line="480"/>
        <w:jc w:val="left"/>
        <w:rPr/>
      </w:pPr>
      <w:r>
        <w:rPr>
          <w:b w:val="false"/>
          <w:bCs w:val="false"/>
        </w:rPr>
        <w:t xml:space="preserve">Richards, P. W., Walsh, R. P. D., Baillie, I. C., &amp; Greig-Smith, P. (1996). </w:t>
      </w:r>
      <w:r>
        <w:rPr>
          <w:b w:val="false"/>
          <w:bCs w:val="false"/>
          <w:i/>
        </w:rPr>
        <w:t>The Tropical Rain Forest: An Ecological Study</w:t>
      </w:r>
      <w:r>
        <w:rPr>
          <w:b w:val="false"/>
          <w:bCs w:val="false"/>
        </w:rPr>
        <w:t xml:space="preserve"> (2 edition). Cambridge ; New York: Cambridge University Press.</w:t>
      </w:r>
    </w:p>
    <w:p>
      <w:pPr>
        <w:pStyle w:val="Normal"/>
        <w:bidi w:val="0"/>
        <w:spacing w:lineRule="auto" w:line="480"/>
        <w:jc w:val="left"/>
        <w:rPr/>
      </w:pPr>
      <w:r>
        <w:rPr>
          <w:b w:val="false"/>
          <w:bCs w:val="false"/>
        </w:rPr>
        <w:t xml:space="preserve">Richards, L. A., &amp; Coley, P. D. (2007). Seasonal and habitat differences affect the impact of food and predation on herbivores: a comparison between gaps and understory of a tropical forest. </w:t>
      </w:r>
      <w:r>
        <w:rPr>
          <w:b w:val="false"/>
          <w:bCs w:val="false"/>
          <w:i/>
        </w:rPr>
        <w:t>Oikos</w:t>
      </w:r>
      <w:r>
        <w:rPr>
          <w:b w:val="false"/>
          <w:bCs w:val="false"/>
        </w:rPr>
        <w:t xml:space="preserve">, </w:t>
      </w:r>
      <w:r>
        <w:rPr>
          <w:b w:val="false"/>
          <w:bCs w:val="false"/>
          <w:i/>
        </w:rPr>
        <w:t>116</w:t>
      </w:r>
      <w:r>
        <w:rPr>
          <w:b w:val="false"/>
          <w:bCs w:val="false"/>
        </w:rPr>
        <w:t>(1), 31–40. doi:</w:t>
      </w:r>
      <w:hyperlink r:id="rId57">
        <w:r>
          <w:rPr>
            <w:rStyle w:val="InternetLink"/>
            <w:b w:val="false"/>
            <w:bCs w:val="false"/>
          </w:rPr>
          <w:t>10.1111/j.2006.0030-1299.15043.x</w:t>
        </w:r>
      </w:hyperlink>
    </w:p>
    <w:p>
      <w:pPr>
        <w:pStyle w:val="Normal"/>
        <w:bidi w:val="0"/>
        <w:spacing w:lineRule="auto" w:line="480"/>
        <w:jc w:val="left"/>
        <w:rPr/>
      </w:pPr>
      <w:r>
        <w:rPr>
          <w:b w:val="false"/>
          <w:bCs w:val="false"/>
        </w:rPr>
        <w:t xml:space="preserve">Saldarriaga, J. G., West, D. C., Tharp, M. L., &amp; Uhl, C. (1988). Long-Term Chronosequence of Forest Succession in the Upper Rio Negro of Colombia and Venezuela. </w:t>
      </w:r>
      <w:r>
        <w:rPr>
          <w:b w:val="false"/>
          <w:bCs w:val="false"/>
          <w:i/>
        </w:rPr>
        <w:t>Journal of Ecology</w:t>
      </w:r>
      <w:r>
        <w:rPr>
          <w:b w:val="false"/>
          <w:bCs w:val="false"/>
        </w:rPr>
        <w:t xml:space="preserve">, </w:t>
      </w:r>
      <w:r>
        <w:rPr>
          <w:b w:val="false"/>
          <w:bCs w:val="false"/>
          <w:i/>
        </w:rPr>
        <w:t>76</w:t>
      </w:r>
      <w:r>
        <w:rPr>
          <w:b w:val="false"/>
          <w:bCs w:val="false"/>
        </w:rPr>
        <w:t>(4), 938–958. doi:</w:t>
      </w:r>
      <w:hyperlink r:id="rId58">
        <w:r>
          <w:rPr>
            <w:rStyle w:val="InternetLink"/>
            <w:b w:val="false"/>
            <w:bCs w:val="false"/>
          </w:rPr>
          <w:t>10.2307/2260625</w:t>
        </w:r>
      </w:hyperlink>
    </w:p>
    <w:p>
      <w:pPr>
        <w:pStyle w:val="Normal"/>
        <w:bidi w:val="0"/>
        <w:spacing w:lineRule="auto" w:line="480"/>
        <w:jc w:val="left"/>
        <w:rPr/>
      </w:pPr>
      <w:r>
        <w:rPr>
          <w:b w:val="false"/>
          <w:bCs w:val="false"/>
        </w:rPr>
        <w:t xml:space="preserve">Schmitz, O. J., Hambäck, P. A., &amp; Beckerman, A. P. (2000). Trophic Cascades in Terrestrial Systems: A Review of the Effects of Carnivore Removals on Plants. </w:t>
      </w:r>
      <w:r>
        <w:rPr>
          <w:b w:val="false"/>
          <w:bCs w:val="false"/>
          <w:i/>
        </w:rPr>
        <w:t>The American Naturalist</w:t>
      </w:r>
      <w:r>
        <w:rPr>
          <w:b w:val="false"/>
          <w:bCs w:val="false"/>
        </w:rPr>
        <w:t xml:space="preserve">, </w:t>
      </w:r>
      <w:r>
        <w:rPr>
          <w:b w:val="false"/>
          <w:bCs w:val="false"/>
          <w:i/>
        </w:rPr>
        <w:t>155</w:t>
      </w:r>
      <w:r>
        <w:rPr>
          <w:b w:val="false"/>
          <w:bCs w:val="false"/>
        </w:rPr>
        <w:t>(2), 141–153. doi:</w:t>
      </w:r>
      <w:hyperlink r:id="rId59">
        <w:r>
          <w:rPr>
            <w:rStyle w:val="InternetLink"/>
            <w:b w:val="false"/>
            <w:bCs w:val="false"/>
          </w:rPr>
          <w:t>10.1086/303311</w:t>
        </w:r>
      </w:hyperlink>
    </w:p>
    <w:p>
      <w:pPr>
        <w:pStyle w:val="Normal"/>
        <w:bidi w:val="0"/>
        <w:spacing w:lineRule="auto" w:line="480"/>
        <w:jc w:val="left"/>
        <w:rPr/>
      </w:pPr>
      <w:r>
        <w:rPr>
          <w:b w:val="false"/>
          <w:bCs w:val="false"/>
        </w:rPr>
        <w:t xml:space="preserve">Schneider, C. A., Rasband, W. S., &amp; Eliceiri, K. W. (2012). NIH Image to ImageJ: 25 years of image analysis. </w:t>
      </w:r>
      <w:r>
        <w:rPr>
          <w:b w:val="false"/>
          <w:bCs w:val="false"/>
          <w:i/>
        </w:rPr>
        <w:t>Nature Methods</w:t>
      </w:r>
      <w:r>
        <w:rPr>
          <w:b w:val="false"/>
          <w:bCs w:val="false"/>
        </w:rPr>
        <w:t xml:space="preserve">, </w:t>
      </w:r>
      <w:r>
        <w:rPr>
          <w:b w:val="false"/>
          <w:bCs w:val="false"/>
          <w:i/>
        </w:rPr>
        <w:t>9</w:t>
      </w:r>
      <w:r>
        <w:rPr>
          <w:b w:val="false"/>
          <w:bCs w:val="false"/>
        </w:rPr>
        <w:t>(7), 671–675.</w:t>
      </w:r>
    </w:p>
    <w:p>
      <w:pPr>
        <w:pStyle w:val="Normal"/>
        <w:bidi w:val="0"/>
        <w:spacing w:lineRule="auto" w:line="480"/>
        <w:jc w:val="left"/>
        <w:rPr/>
      </w:pPr>
      <w:r>
        <w:rPr>
          <w:b w:val="false"/>
          <w:bCs w:val="false"/>
        </w:rPr>
        <w:t xml:space="preserve">Schnitzer, S. A., &amp; Bongers, F. (2002). The ecology of lianas and their role in forests. </w:t>
      </w:r>
      <w:r>
        <w:rPr>
          <w:b w:val="false"/>
          <w:bCs w:val="false"/>
          <w:i/>
        </w:rPr>
        <w:t>Trends in Ecology &amp; Evolution</w:t>
      </w:r>
      <w:r>
        <w:rPr>
          <w:b w:val="false"/>
          <w:bCs w:val="false"/>
        </w:rPr>
        <w:t xml:space="preserve">, </w:t>
      </w:r>
      <w:r>
        <w:rPr>
          <w:b w:val="false"/>
          <w:bCs w:val="false"/>
          <w:i/>
        </w:rPr>
        <w:t>17</w:t>
      </w:r>
      <w:r>
        <w:rPr>
          <w:b w:val="false"/>
          <w:bCs w:val="false"/>
        </w:rPr>
        <w:t>(5), 223–230. doi:</w:t>
      </w:r>
      <w:hyperlink r:id="rId60">
        <w:r>
          <w:rPr>
            <w:rStyle w:val="InternetLink"/>
            <w:b w:val="false"/>
            <w:bCs w:val="false"/>
          </w:rPr>
          <w:t>10.1016/S0169-5347(02)02491-6</w:t>
        </w:r>
      </w:hyperlink>
    </w:p>
    <w:p>
      <w:pPr>
        <w:pStyle w:val="Normal"/>
        <w:bidi w:val="0"/>
        <w:spacing w:lineRule="auto" w:line="480"/>
        <w:jc w:val="left"/>
        <w:rPr/>
      </w:pPr>
      <w:r>
        <w:rPr>
          <w:b w:val="false"/>
          <w:bCs w:val="false"/>
        </w:rPr>
        <w:t xml:space="preserve">Stegen, J. C., Lin, X., Fredrickson, J. K., Chen, X., Kennedy, D. W., Murray, C. J., … Konopka, A. (2013). Quantifying community assembly processes and identifying features that impose them. </w:t>
      </w:r>
      <w:r>
        <w:rPr>
          <w:b w:val="false"/>
          <w:bCs w:val="false"/>
          <w:i/>
        </w:rPr>
        <w:t>The ISME Journal</w:t>
      </w:r>
      <w:r>
        <w:rPr>
          <w:b w:val="false"/>
          <w:bCs w:val="false"/>
        </w:rPr>
        <w:t xml:space="preserve">, </w:t>
      </w:r>
      <w:r>
        <w:rPr>
          <w:b w:val="false"/>
          <w:bCs w:val="false"/>
          <w:i/>
        </w:rPr>
        <w:t>7</w:t>
      </w:r>
      <w:r>
        <w:rPr>
          <w:b w:val="false"/>
          <w:bCs w:val="false"/>
        </w:rPr>
        <w:t>(11), 2069–2079. doi:</w:t>
      </w:r>
      <w:hyperlink r:id="rId61">
        <w:r>
          <w:rPr>
            <w:rStyle w:val="InternetLink"/>
            <w:b w:val="false"/>
            <w:bCs w:val="false"/>
          </w:rPr>
          <w:t>10.1038/ismej.2013.93</w:t>
        </w:r>
      </w:hyperlink>
    </w:p>
    <w:p>
      <w:pPr>
        <w:pStyle w:val="Normal"/>
        <w:bidi w:val="0"/>
        <w:spacing w:lineRule="auto" w:line="480"/>
        <w:jc w:val="left"/>
        <w:rPr/>
      </w:pPr>
      <w:r>
        <w:rPr>
          <w:b w:val="false"/>
          <w:bCs w:val="false"/>
        </w:rPr>
        <w:t xml:space="preserve">Stein, C., Unsicker, S. B., Kahmen, A., Wagner, M., Audorff, V., Auge, H., … Weisser, W. W. (2010). Impact of invertebrate herbivory in grasslands depends on plant species diversity. </w:t>
      </w:r>
      <w:r>
        <w:rPr>
          <w:b w:val="false"/>
          <w:bCs w:val="false"/>
          <w:i/>
        </w:rPr>
        <w:t>Ecology</w:t>
      </w:r>
      <w:r>
        <w:rPr>
          <w:b w:val="false"/>
          <w:bCs w:val="false"/>
        </w:rPr>
        <w:t xml:space="preserve">, </w:t>
      </w:r>
      <w:r>
        <w:rPr>
          <w:b w:val="false"/>
          <w:bCs w:val="false"/>
          <w:i/>
        </w:rPr>
        <w:t>91</w:t>
      </w:r>
      <w:r>
        <w:rPr>
          <w:b w:val="false"/>
          <w:bCs w:val="false"/>
        </w:rPr>
        <w:t>(6), 1639–1650. doi:</w:t>
      </w:r>
      <w:hyperlink r:id="rId62">
        <w:r>
          <w:rPr>
            <w:rStyle w:val="InternetLink"/>
            <w:b w:val="false"/>
            <w:bCs w:val="false"/>
          </w:rPr>
          <w:t>10.1890/09-0600.1</w:t>
        </w:r>
      </w:hyperlink>
    </w:p>
    <w:p>
      <w:pPr>
        <w:pStyle w:val="Normal"/>
        <w:bidi w:val="0"/>
        <w:spacing w:lineRule="auto" w:line="480"/>
        <w:jc w:val="left"/>
        <w:rPr/>
      </w:pPr>
      <w:r>
        <w:rPr>
          <w:b w:val="false"/>
          <w:bCs w:val="false"/>
        </w:rPr>
        <w:t xml:space="preserve">Strauss, S.Y., &amp; Agrawal, </w:t>
      </w:r>
      <w:r>
        <w:rPr>
          <w:rFonts w:ascii="Times New Roman" w:hAnsi="Times New Roman"/>
          <w:b w:val="false"/>
          <w:bCs w:val="false"/>
          <w:lang w:val="en-GB"/>
        </w:rPr>
        <w:t>A. A</w:t>
      </w:r>
      <w:r>
        <w:rPr>
          <w:b w:val="false"/>
          <w:bCs w:val="false"/>
        </w:rPr>
        <w:t xml:space="preserve">. (1999). The ecology and evolution of plant tolerance to herbivory. </w:t>
      </w:r>
      <w:r>
        <w:rPr>
          <w:b w:val="false"/>
          <w:bCs w:val="false"/>
          <w:i/>
        </w:rPr>
        <w:t>Trends in Ecology &amp; Evolution</w:t>
      </w:r>
      <w:r>
        <w:rPr>
          <w:b w:val="false"/>
          <w:bCs w:val="false"/>
        </w:rPr>
        <w:t xml:space="preserve">, </w:t>
      </w:r>
      <w:r>
        <w:rPr>
          <w:b w:val="false"/>
          <w:bCs w:val="false"/>
          <w:i/>
        </w:rPr>
        <w:t>14</w:t>
      </w:r>
      <w:r>
        <w:rPr>
          <w:b w:val="false"/>
          <w:bCs w:val="false"/>
        </w:rPr>
        <w:t>(5), 179–185.</w:t>
      </w:r>
    </w:p>
    <w:p>
      <w:pPr>
        <w:pStyle w:val="Normal"/>
        <w:bidi w:val="0"/>
        <w:spacing w:lineRule="auto" w:line="480"/>
        <w:jc w:val="left"/>
        <w:rPr/>
      </w:pPr>
      <w:r>
        <w:rPr>
          <w:b w:val="false"/>
          <w:bCs w:val="false"/>
        </w:rPr>
        <w:t xml:space="preserve">Suding, K. N., Gross, K. L., &amp; Houseman, G. R. (2004). Alternative states and positive feedbacks in restoration ecology. </w:t>
      </w:r>
      <w:r>
        <w:rPr>
          <w:b w:val="false"/>
          <w:bCs w:val="false"/>
          <w:i/>
        </w:rPr>
        <w:t>Trends in Ecology &amp; Evolution</w:t>
      </w:r>
      <w:r>
        <w:rPr>
          <w:b w:val="false"/>
          <w:bCs w:val="false"/>
        </w:rPr>
        <w:t xml:space="preserve">, </w:t>
      </w:r>
      <w:r>
        <w:rPr>
          <w:b w:val="false"/>
          <w:bCs w:val="false"/>
          <w:i/>
        </w:rPr>
        <w:t>19</w:t>
      </w:r>
      <w:r>
        <w:rPr>
          <w:b w:val="false"/>
          <w:bCs w:val="false"/>
        </w:rPr>
        <w:t>(1), 46–53. doi:</w:t>
      </w:r>
      <w:hyperlink r:id="rId63">
        <w:r>
          <w:rPr>
            <w:rStyle w:val="InternetLink"/>
            <w:b w:val="false"/>
            <w:bCs w:val="false"/>
          </w:rPr>
          <w:t>10.1016/j.tree.2003.10.005</w:t>
        </w:r>
      </w:hyperlink>
    </w:p>
    <w:p>
      <w:pPr>
        <w:pStyle w:val="Normal"/>
        <w:bidi w:val="0"/>
        <w:spacing w:lineRule="auto" w:line="480"/>
        <w:jc w:val="left"/>
        <w:rPr/>
      </w:pPr>
      <w:r>
        <w:rPr>
          <w:b w:val="false"/>
          <w:bCs w:val="false"/>
        </w:rPr>
        <w:t xml:space="preserve">Trumble, J. T., Kolodny-Hirsch, D. M., &amp; Ting, I. P. (1993). Plant Compensation for Arthropod Herbivory. </w:t>
      </w:r>
      <w:r>
        <w:rPr>
          <w:b w:val="false"/>
          <w:bCs w:val="false"/>
          <w:i/>
        </w:rPr>
        <w:t>Annual Review of Entomology</w:t>
      </w:r>
      <w:r>
        <w:rPr>
          <w:b w:val="false"/>
          <w:bCs w:val="false"/>
        </w:rPr>
        <w:t xml:space="preserve">, </w:t>
      </w:r>
      <w:r>
        <w:rPr>
          <w:b w:val="false"/>
          <w:bCs w:val="false"/>
          <w:i/>
        </w:rPr>
        <w:t>38</w:t>
      </w:r>
      <w:r>
        <w:rPr>
          <w:b w:val="false"/>
          <w:bCs w:val="false"/>
        </w:rPr>
        <w:t>(1), 93–119. doi:</w:t>
      </w:r>
      <w:hyperlink r:id="rId64">
        <w:r>
          <w:rPr>
            <w:rStyle w:val="InternetLink"/>
            <w:b w:val="false"/>
            <w:bCs w:val="false"/>
          </w:rPr>
          <w:t>10.1146/annurev.en.38.010193.000521</w:t>
        </w:r>
      </w:hyperlink>
    </w:p>
    <w:p>
      <w:pPr>
        <w:pStyle w:val="Normal"/>
        <w:bidi w:val="0"/>
        <w:spacing w:lineRule="auto" w:line="480"/>
        <w:jc w:val="left"/>
        <w:rPr/>
      </w:pPr>
      <w:hyperlink r:id="rId65">
        <w:r>
          <w:rPr>
            <w:rStyle w:val="ListLabel17"/>
            <w:b w:val="false"/>
            <w:bCs w:val="false"/>
          </w:rPr>
          <w:t xml:space="preserve">Turner, I. M. (2008). </w:t>
        </w:r>
      </w:hyperlink>
      <w:r>
        <w:rPr>
          <w:b w:val="false"/>
          <w:bCs w:val="false"/>
          <w:i/>
        </w:rPr>
        <w:t>The Ecology of Trees in the Tropical Rain Forest</w:t>
      </w:r>
      <w:r>
        <w:rPr>
          <w:b w:val="false"/>
          <w:bCs w:val="false"/>
        </w:rPr>
        <w:t xml:space="preserve"> (1 edition). Cambridge: Cambridge University Press.</w:t>
      </w:r>
    </w:p>
    <w:p>
      <w:pPr>
        <w:pStyle w:val="Normal"/>
        <w:bidi w:val="0"/>
        <w:spacing w:lineRule="auto" w:line="480"/>
        <w:jc w:val="left"/>
        <w:rPr/>
      </w:pPr>
      <w:r>
        <w:rPr>
          <w:b w:val="false"/>
          <w:bCs w:val="false"/>
        </w:rPr>
        <w:t xml:space="preserve">van Breugel, M., van Breugel, P., Jansen, P. A., Martínez-Ramos, M., &amp; Bongers, F. (2012). The relative importance of above- versus belowground competition for tree growth during early succession of a tropical moist forest. </w:t>
      </w:r>
      <w:r>
        <w:rPr>
          <w:b w:val="false"/>
          <w:bCs w:val="false"/>
          <w:i/>
        </w:rPr>
        <w:t>Plant Ecology</w:t>
      </w:r>
      <w:r>
        <w:rPr>
          <w:b w:val="false"/>
          <w:bCs w:val="false"/>
        </w:rPr>
        <w:t xml:space="preserve">, </w:t>
      </w:r>
      <w:r>
        <w:rPr>
          <w:b w:val="false"/>
          <w:bCs w:val="false"/>
          <w:i/>
        </w:rPr>
        <w:t>213</w:t>
      </w:r>
      <w:r>
        <w:rPr>
          <w:b w:val="false"/>
          <w:bCs w:val="false"/>
        </w:rPr>
        <w:t>(1), 25–34. doi:</w:t>
      </w:r>
      <w:hyperlink r:id="rId66">
        <w:r>
          <w:rPr>
            <w:rStyle w:val="InternetLink"/>
            <w:b w:val="false"/>
            <w:bCs w:val="false"/>
          </w:rPr>
          <w:t>10.1007/s11258-011-0003-3</w:t>
        </w:r>
      </w:hyperlink>
    </w:p>
    <w:p>
      <w:pPr>
        <w:pStyle w:val="Normal"/>
        <w:bidi w:val="0"/>
        <w:spacing w:lineRule="auto" w:line="480"/>
        <w:jc w:val="left"/>
        <w:rPr/>
      </w:pPr>
      <w:r>
        <w:rPr>
          <w:b w:val="false"/>
          <w:bCs w:val="false"/>
        </w:rPr>
        <w:t>Walia, A., Mehta, P., Guleria, S., Chauhan, A., &amp; Shirkot, C. K. (2014). Impact of Fungicide Mancozeb at Different Application Rates on Soil Microbial Populations, Soil Biological Processes, and Enzyme Activities in Soil [Research article]. doi:</w:t>
      </w:r>
      <w:hyperlink r:id="rId67">
        <w:r>
          <w:rPr>
            <w:rStyle w:val="InternetLink"/>
            <w:b w:val="false"/>
            <w:bCs w:val="false"/>
          </w:rPr>
          <w:t>10.1155/2014/702909</w:t>
        </w:r>
      </w:hyperlink>
    </w:p>
    <w:p>
      <w:pPr>
        <w:pStyle w:val="Normal"/>
        <w:bidi w:val="0"/>
        <w:spacing w:lineRule="auto" w:line="480"/>
        <w:jc w:val="left"/>
        <w:rPr/>
      </w:pPr>
      <w:r>
        <w:rPr>
          <w:b w:val="false"/>
          <w:bCs w:val="false"/>
        </w:rPr>
        <w:t xml:space="preserve">Whitfeld, T. J. S., Kress, W. J., Erickson, D. L., &amp; Weiblen, G. D. (2012). Change in community phylogenetic structure during tropical forest succession: evidence from New Guinea. </w:t>
      </w:r>
      <w:r>
        <w:rPr>
          <w:b w:val="false"/>
          <w:bCs w:val="false"/>
          <w:i/>
        </w:rPr>
        <w:t>Ecography</w:t>
      </w:r>
      <w:r>
        <w:rPr>
          <w:b w:val="false"/>
          <w:bCs w:val="false"/>
        </w:rPr>
        <w:t xml:space="preserve">, </w:t>
      </w:r>
      <w:r>
        <w:rPr>
          <w:b w:val="false"/>
          <w:bCs w:val="false"/>
          <w:i/>
        </w:rPr>
        <w:t>35</w:t>
      </w:r>
      <w:r>
        <w:rPr>
          <w:b w:val="false"/>
          <w:bCs w:val="false"/>
        </w:rPr>
        <w:t>(9), 821–830. doi:</w:t>
      </w:r>
      <w:hyperlink r:id="rId68">
        <w:r>
          <w:rPr>
            <w:rStyle w:val="InternetLink"/>
            <w:b w:val="false"/>
            <w:bCs w:val="false"/>
          </w:rPr>
          <w:t>10.1111/j.1600-0587.2011.07181.x</w:t>
        </w:r>
      </w:hyperlink>
    </w:p>
    <w:p>
      <w:pPr>
        <w:pStyle w:val="Normal"/>
        <w:bidi w:val="0"/>
        <w:spacing w:lineRule="auto" w:line="480"/>
        <w:jc w:val="left"/>
        <w:rPr/>
      </w:pPr>
      <w:r>
        <w:rPr>
          <w:b w:val="false"/>
          <w:bCs w:val="false"/>
        </w:rPr>
        <w:t xml:space="preserve">Whitfeld, Timothy J. S., Novotny, V., Miller, S. E., Hrcek, J., Klimes, P., &amp; Weiblen, G. D. (2012). Predicting tropical insect herbivore abundance from host plant traits and phylogeny. </w:t>
      </w:r>
      <w:r>
        <w:rPr>
          <w:b w:val="false"/>
          <w:bCs w:val="false"/>
          <w:i/>
        </w:rPr>
        <w:t>Ecology</w:t>
      </w:r>
      <w:r>
        <w:rPr>
          <w:b w:val="false"/>
          <w:bCs w:val="false"/>
        </w:rPr>
        <w:t xml:space="preserve">, </w:t>
      </w:r>
      <w:r>
        <w:rPr>
          <w:b w:val="false"/>
          <w:bCs w:val="false"/>
          <w:i/>
        </w:rPr>
        <w:t>93</w:t>
      </w:r>
      <w:r>
        <w:rPr>
          <w:b w:val="false"/>
          <w:bCs w:val="false"/>
        </w:rPr>
        <w:t>(sp8), S211–S222. doi:</w:t>
      </w:r>
      <w:hyperlink r:id="rId69">
        <w:r>
          <w:rPr>
            <w:rStyle w:val="InternetLink"/>
            <w:b w:val="false"/>
            <w:bCs w:val="false"/>
          </w:rPr>
          <w:t>10.1890/11-0503.1</w:t>
        </w:r>
      </w:hyperlink>
    </w:p>
    <w:p>
      <w:pPr>
        <w:pStyle w:val="Normal"/>
        <w:bidi w:val="0"/>
        <w:spacing w:lineRule="auto" w:line="480"/>
        <w:jc w:val="left"/>
        <w:rPr/>
      </w:pPr>
      <w:r>
        <w:rPr>
          <w:b w:val="false"/>
          <w:bCs w:val="false"/>
        </w:rPr>
        <w:t xml:space="preserve">Williamson, G. B., Bentos, T. V., Longworth, J. B., &amp; Mesquita, R. C. G. (2014). Convergence and divergence in alternative successional pathways in Central Amazonia. </w:t>
      </w:r>
      <w:r>
        <w:rPr>
          <w:b w:val="false"/>
          <w:bCs w:val="false"/>
          <w:i/>
        </w:rPr>
        <w:t>Plant Ecology &amp; Diversity</w:t>
      </w:r>
      <w:r>
        <w:rPr>
          <w:b w:val="false"/>
          <w:bCs w:val="false"/>
        </w:rPr>
        <w:t xml:space="preserve">, </w:t>
      </w:r>
      <w:r>
        <w:rPr>
          <w:b w:val="false"/>
          <w:bCs w:val="false"/>
          <w:i/>
        </w:rPr>
        <w:t>7</w:t>
      </w:r>
      <w:r>
        <w:rPr>
          <w:b w:val="false"/>
          <w:bCs w:val="false"/>
        </w:rPr>
        <w:t>(1–2), 341–348. doi:</w:t>
      </w:r>
      <w:hyperlink r:id="rId70">
        <w:r>
          <w:rPr>
            <w:rStyle w:val="InternetLink"/>
            <w:b w:val="false"/>
            <w:bCs w:val="false"/>
          </w:rPr>
          <w:t>10.1080/17550874.2012.735714</w:t>
        </w:r>
      </w:hyperlink>
    </w:p>
    <w:p>
      <w:pPr>
        <w:pStyle w:val="Normal"/>
        <w:bidi w:val="0"/>
        <w:spacing w:lineRule="auto" w:line="480"/>
        <w:jc w:val="left"/>
        <w:rPr/>
      </w:pPr>
      <w:r>
        <w:rPr>
          <w:rFonts w:ascii="Times New Roman" w:hAnsi="Times New Roman"/>
          <w:b w:val="false"/>
          <w:bCs w:val="false"/>
          <w:lang w:val="en-GB"/>
        </w:rPr>
        <w:t xml:space="preserve">Yamamoto, S.-I. (2000). Forest gap dynamics and tree regeneration. </w:t>
      </w:r>
      <w:r>
        <w:rPr>
          <w:rFonts w:ascii="Times New Roman" w:hAnsi="Times New Roman"/>
          <w:b w:val="false"/>
          <w:bCs w:val="false"/>
          <w:i/>
          <w:lang w:val="en-GB"/>
        </w:rPr>
        <w:t>Journal of Forest Research</w:t>
      </w:r>
      <w:r>
        <w:rPr>
          <w:rFonts w:ascii="Times New Roman" w:hAnsi="Times New Roman"/>
          <w:b w:val="false"/>
          <w:bCs w:val="false"/>
          <w:lang w:val="en-GB"/>
        </w:rPr>
        <w:t xml:space="preserve">, </w:t>
      </w:r>
      <w:r>
        <w:rPr>
          <w:rFonts w:ascii="Times New Roman" w:hAnsi="Times New Roman"/>
          <w:b w:val="false"/>
          <w:bCs w:val="false"/>
          <w:i/>
          <w:lang w:val="en-GB"/>
        </w:rPr>
        <w:t>5</w:t>
      </w:r>
      <w:r>
        <w:rPr>
          <w:rFonts w:ascii="Times New Roman" w:hAnsi="Times New Roman"/>
          <w:b w:val="false"/>
          <w:bCs w:val="false"/>
          <w:lang w:val="en-GB"/>
        </w:rPr>
        <w:t>(4), 223–229. doi:</w:t>
      </w:r>
      <w:hyperlink r:id="rId71">
        <w:r>
          <w:rPr>
            <w:rStyle w:val="InternetLink"/>
            <w:rFonts w:ascii="Times New Roman" w:hAnsi="Times New Roman"/>
            <w:b w:val="false"/>
            <w:bCs w:val="false"/>
          </w:rPr>
          <w:t>10.1007/BF02767114</w:t>
        </w:r>
      </w:hyperlink>
      <w:r>
        <w:br w:type="page"/>
      </w:r>
    </w:p>
    <w:p>
      <w:pPr>
        <w:pStyle w:val="TextBody"/>
        <w:rPr>
          <w:rFonts w:ascii="Times New Roman" w:hAnsi="Times New Roman"/>
          <w:b/>
          <w:b/>
          <w:bCs/>
          <w:color w:val="000000"/>
          <w:lang w:val="en-GB"/>
        </w:rPr>
      </w:pPr>
      <w:r>
        <w:rPr>
          <w:rFonts w:ascii="Times New Roman" w:hAnsi="Times New Roman"/>
          <w:b/>
          <w:bCs/>
          <w:color w:val="000000"/>
          <w:lang w:val="en-GB"/>
        </w:rPr>
        <w:t>Figures</w:t>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(means and standard deviations) based on all species present in the experimental plots from Wanang. Red colour indicates significant difference from the control at alpha=0.05. Biomass is measured in kilograms, diversity by Shannon’s H index, and abundance as a number of stems with DBH &gt; 1cm, present in 5 x 5 m plot.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90490" cy="259524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3"/>
                    <a:stretch>
                      <a:fillRect/>
                    </a:stretch>
                  </pic:blipFill>
                  <pic:spPr bwMode="auto">
                    <a:xfrm>
                      <a:off x="0" y="0"/>
                      <a:ext cx="5190490" cy="2595245"/>
                    </a:xfrm>
                    <a:prstGeom prst="rect">
                      <a:avLst/>
                    </a:prstGeom>
                  </pic:spPr>
                </pic:pic>
              </a:graphicData>
            </a:graphic>
          </wp:anchor>
        </w:drawing>
      </w:r>
    </w:p>
    <w:p>
      <w:pPr>
        <w:pStyle w:val="Normal"/>
        <w:spacing w:lineRule="auto" w:line="480"/>
        <w:rPr>
          <w:rFonts w:ascii="Times New Roman" w:hAnsi="Times New Roman"/>
          <w:lang w:val="en-GB"/>
        </w:rPr>
      </w:pPr>
      <w:r>
        <w:rPr>
          <w:rFonts w:ascii="Times New Roman" w:hAnsi="Times New Roman"/>
          <w:lang w:val="en-GB"/>
        </w:rPr>
        <w:t>Figure 2. Community weighted means of leaf traits for different treatments from the whole community (means and standard deviations). Values of LDMC are logit-transformed, and SLA log-transformed. Red colour indicates significance at the alpha = 0.05, and orange at alpha = 0.05.</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13810" cy="38138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4"/>
                    <a:stretch>
                      <a:fillRect/>
                    </a:stretch>
                  </pic:blipFill>
                  <pic:spPr bwMode="auto">
                    <a:xfrm>
                      <a:off x="0" y="0"/>
                      <a:ext cx="3813810" cy="3813810"/>
                    </a:xfrm>
                    <a:prstGeom prst="rect">
                      <a:avLst/>
                    </a:prstGeom>
                  </pic:spPr>
                </pic:pic>
              </a:graphicData>
            </a:graphic>
          </wp:anchor>
        </w:drawing>
      </w:r>
    </w:p>
    <w:p>
      <w:pPr>
        <w:pStyle w:val="Normal"/>
        <w:spacing w:lineRule="auto" w:line="480"/>
        <w:rPr>
          <w:rFonts w:ascii="Times New Roman" w:hAnsi="Times New Roman"/>
          <w:color w:val="000000"/>
          <w:lang w:val="en-GB"/>
        </w:rPr>
      </w:pPr>
      <w:r>
        <w:rPr>
          <w:rFonts w:ascii="Times New Roman" w:hAnsi="Times New Roman"/>
          <w:color w:val="000000"/>
          <w:lang w:val="en-GB"/>
        </w:rPr>
        <w:t>Figure 3. Redundancy analysis of the plant biomass data, conditioned on their blocks. Only one factor – insecticide – was significant and its centroid plotted. Each axis is described by their percentage of explained variance. Treatments are: C – control, F – fungicide, I – insecticide, P – predator exclosure, H1 – moderate increase in herbivory pressure, H2 – high increase in herbivory pressure.</w:t>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79365" cy="310388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5"/>
                    <a:stretch>
                      <a:fillRect/>
                    </a:stretch>
                  </pic:blipFill>
                  <pic:spPr bwMode="auto">
                    <a:xfrm>
                      <a:off x="0" y="0"/>
                      <a:ext cx="5079365" cy="310388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4. Within treatment dissimilarity (mean </w:t>
      </w:r>
      <w:bookmarkStart w:id="22" w:name="__DdeLink__339_427152718"/>
      <w:r>
        <w:rPr>
          <w:rFonts w:ascii="Times New Roman" w:hAnsi="Times New Roman"/>
          <w:color w:val="000000"/>
          <w:lang w:val="en-GB"/>
        </w:rPr>
        <w:t>±</w:t>
      </w:r>
      <w:bookmarkEnd w:id="22"/>
      <w:r>
        <w:rPr>
          <w:rFonts w:ascii="Times New Roman" w:hAnsi="Times New Roman"/>
          <w:color w:val="000000"/>
          <w:lang w:val="en-GB"/>
        </w:rPr>
        <w:t xml:space="preserve"> SD) according to a modified Raup-Crick dissimilarity metric (RC) for the woody plant community (no significant differences were found for the whole community). This metric ranges from -1 to 1, indicating whether a pair of plots converge (approaching 1)/diverge (approaching -1) deterministically to more similar/dissimilar community composition than expected by chance. Values close to zero indicate stochastic community assembly. Red colour denotes significant differences between treatments (alpha =0.05).</w:t>
      </w:r>
    </w:p>
    <w:sectPr>
      <w:footerReference w:type="default" r:id="rId7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34</w:t>
    </w:r>
    <w:r>
      <w:rPr/>
      <w:fldChar w:fldCharType="end"/>
    </w:r>
  </w:p>
</w:ftr>
</file>

<file path=word/settings.xml><?xml version="1.0" encoding="utf-8"?>
<w:settings xmlns:w="http://schemas.openxmlformats.org/wordprocessingml/2006/main">
  <w:zoom w:percent="13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kern w:val="0"/>
      <w:sz w:val="24"/>
      <w:szCs w:val="24"/>
      <w:lang w:val="en-US" w:eastAsia="zh-CN" w:bidi="hi-IN"/>
    </w:rPr>
  </w:style>
  <w:style w:type="paragraph" w:styleId="Heading1">
    <w:name w:val="Heading 1"/>
    <w:basedOn w:val="Normal"/>
    <w:qFormat/>
    <w:pPr>
      <w:widowControl w:val="false"/>
      <w:outlineLvl w:val="0"/>
    </w:pPr>
    <w:rPr/>
  </w:style>
  <w:style w:type="paragraph" w:styleId="Heading2">
    <w:name w:val="Heading 2"/>
    <w:basedOn w:val="Normal"/>
    <w:qFormat/>
    <w:pPr>
      <w:widowControl w:val="false"/>
      <w:outlineLvl w:val="1"/>
    </w:pPr>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character" w:styleId="InternetLink">
    <w:name w:val="Internet Link"/>
    <w:rPr>
      <w:color w:val="000080"/>
      <w:u w:val="single"/>
      <w:lang w:val="zxx" w:eastAsia="zxx" w:bidi="zxx"/>
    </w:rPr>
  </w:style>
  <w:style w:type="character" w:styleId="ListLabel2">
    <w:name w:val="ListLabel 2"/>
    <w:qFormat/>
    <w:rPr>
      <w:b w:val="false"/>
      <w:bCs w:val="false"/>
    </w:rPr>
  </w:style>
  <w:style w:type="character" w:styleId="ListLabel1">
    <w:name w:val="ListLabel 1"/>
    <w:qFormat/>
    <w:rPr>
      <w:rFonts w:ascii="Times New Roman" w:hAnsi="Times New Roman"/>
      <w:b w:val="false"/>
      <w:bCs w:val="false"/>
      <w:lang w:val="en-GB"/>
    </w:rPr>
  </w:style>
  <w:style w:type="character" w:styleId="ListLabel3">
    <w:name w:val="ListLabel 3"/>
    <w:qFormat/>
    <w:rPr>
      <w:rFonts w:ascii="Times New Roman" w:hAnsi="Times New Roman"/>
      <w:b w:val="false"/>
      <w:bCs w:val="false"/>
      <w:lang w:val="en-GB"/>
    </w:rPr>
  </w:style>
  <w:style w:type="character" w:styleId="ListLabel4">
    <w:name w:val="ListLabel 4"/>
    <w:qFormat/>
    <w:rPr>
      <w:b w:val="false"/>
      <w:bCs w:val="false"/>
    </w:rPr>
  </w:style>
  <w:style w:type="character" w:styleId="ListLabel5">
    <w:name w:val="ListLabel 5"/>
    <w:qFormat/>
    <w:rPr>
      <w:rFonts w:ascii="Times New Roman" w:hAnsi="Times New Roman"/>
      <w:b w:val="false"/>
      <w:bCs w:val="false"/>
    </w:rPr>
  </w:style>
  <w:style w:type="character" w:styleId="ListLabel6">
    <w:name w:val="ListLabel 6"/>
    <w:qFormat/>
    <w:rPr>
      <w:rFonts w:ascii="Times New Roman" w:hAnsi="Times New Roman"/>
      <w:b w:val="false"/>
      <w:bCs w:val="false"/>
      <w:lang w:val="en-GB"/>
    </w:rPr>
  </w:style>
  <w:style w:type="character" w:styleId="ListLabel7">
    <w:name w:val="ListLabel 7"/>
    <w:qFormat/>
    <w:rPr>
      <w:b w:val="false"/>
      <w:bCs w:val="false"/>
    </w:rPr>
  </w:style>
  <w:style w:type="character" w:styleId="ListLabel8">
    <w:name w:val="ListLabel 8"/>
    <w:qFormat/>
    <w:rPr>
      <w:rFonts w:ascii="Times New Roman" w:hAnsi="Times New Roman"/>
      <w:b w:val="false"/>
      <w:bCs w:val="false"/>
    </w:rPr>
  </w:style>
  <w:style w:type="character" w:styleId="ListLabel9">
    <w:name w:val="ListLabel 9"/>
    <w:qFormat/>
    <w:rPr>
      <w:rFonts w:ascii="Times New Roman" w:hAnsi="Times New Roman"/>
      <w:b w:val="false"/>
      <w:bCs w:val="false"/>
      <w:lang w:val="en-GB"/>
    </w:rPr>
  </w:style>
  <w:style w:type="character" w:styleId="ListLabel10">
    <w:name w:val="ListLabel 10"/>
    <w:qFormat/>
    <w:rPr>
      <w:b w:val="false"/>
      <w:bCs w:val="false"/>
    </w:rPr>
  </w:style>
  <w:style w:type="character" w:styleId="ListLabel11">
    <w:name w:val="ListLabel 11"/>
    <w:qFormat/>
    <w:rPr>
      <w:rFonts w:ascii="Times New Roman" w:hAnsi="Times New Roman"/>
      <w:b w:val="false"/>
      <w:bCs w:val="false"/>
    </w:rPr>
  </w:style>
  <w:style w:type="character" w:styleId="ListLabel12">
    <w:name w:val="ListLabel 12"/>
    <w:qFormat/>
    <w:rPr>
      <w:rFonts w:ascii="Times New Roman" w:hAnsi="Times New Roman"/>
      <w:color w:val="auto"/>
      <w:u w:val="none"/>
    </w:rPr>
  </w:style>
  <w:style w:type="character" w:styleId="ListLabel13">
    <w:name w:val="ListLabel 13"/>
    <w:qFormat/>
    <w:rPr>
      <w:rFonts w:ascii="Times New Roman" w:hAnsi="Times New Roman"/>
      <w:b w:val="false"/>
      <w:bCs w:val="false"/>
      <w:color w:val="000000"/>
      <w:lang w:val="en-GB"/>
    </w:rPr>
  </w:style>
  <w:style w:type="character" w:styleId="ListLabel14">
    <w:name w:val="ListLabel 14"/>
    <w:qFormat/>
    <w:rPr>
      <w:rFonts w:ascii="Times New Roman" w:hAnsi="Times New Roman"/>
      <w:b w:val="false"/>
      <w:bCs w:val="false"/>
      <w:lang w:val="en-GB"/>
    </w:rPr>
  </w:style>
  <w:style w:type="character" w:styleId="ListLabel15">
    <w:name w:val="ListLabel 15"/>
    <w:qFormat/>
    <w:rPr>
      <w:b w:val="false"/>
      <w:bCs w:val="false"/>
    </w:rPr>
  </w:style>
  <w:style w:type="character" w:styleId="ListLabel16">
    <w:name w:val="ListLabel 16"/>
    <w:qFormat/>
    <w:rPr>
      <w:color w:val="auto"/>
      <w:u w:val="none"/>
    </w:rPr>
  </w:style>
  <w:style w:type="character" w:styleId="ListLabel17">
    <w:name w:val="ListLabel 17"/>
    <w:qFormat/>
    <w:rPr>
      <w:b w:val="false"/>
      <w:bCs w:val="false"/>
    </w:rPr>
  </w:style>
  <w:style w:type="character" w:styleId="ListLabel18">
    <w:name w:val="ListLabel 18"/>
    <w:qFormat/>
    <w:rPr>
      <w:rFonts w:ascii="Times New Roman" w:hAnsi="Times New Roman"/>
      <w:b w:val="false"/>
      <w:bCs w:val="false"/>
    </w:rPr>
  </w:style>
  <w:style w:type="character" w:styleId="ListLabel19">
    <w:name w:val="ListLabel 19"/>
    <w:qFormat/>
    <w:rPr>
      <w:rFonts w:ascii="Times New Roman" w:hAnsi="Times New Roman"/>
      <w:color w:val="auto"/>
      <w:u w:val="none"/>
    </w:rPr>
  </w:style>
  <w:style w:type="character" w:styleId="ListLabel20">
    <w:name w:val="ListLabel 20"/>
    <w:qFormat/>
    <w:rPr>
      <w:rFonts w:ascii="Times New Roman" w:hAnsi="Times New Roman"/>
      <w:b w:val="false"/>
      <w:bCs w:val="false"/>
      <w:color w:val="000000"/>
      <w:lang w:val="en-GB"/>
    </w:rPr>
  </w:style>
  <w:style w:type="character" w:styleId="ListLabel21">
    <w:name w:val="ListLabel 21"/>
    <w:qFormat/>
    <w:rPr>
      <w:rFonts w:ascii="Times New Roman" w:hAnsi="Times New Roman"/>
      <w:b w:val="false"/>
      <w:bCs w:val="false"/>
      <w:lang w:val="en-GB"/>
    </w:rPr>
  </w:style>
  <w:style w:type="character" w:styleId="ListLabel22">
    <w:name w:val="ListLabel 22"/>
    <w:qFormat/>
    <w:rPr>
      <w:b w:val="false"/>
      <w:bCs w:val="false"/>
    </w:rPr>
  </w:style>
  <w:style w:type="character" w:styleId="ListLabel23">
    <w:name w:val="ListLabel 23"/>
    <w:qFormat/>
    <w:rPr>
      <w:color w:val="auto"/>
      <w:u w:val="none"/>
    </w:rPr>
  </w:style>
  <w:style w:type="character" w:styleId="ListLabel24">
    <w:name w:val="ListLabel 24"/>
    <w:qFormat/>
    <w:rPr>
      <w:b w:val="false"/>
      <w:bCs w:val="false"/>
    </w:rPr>
  </w:style>
  <w:style w:type="character" w:styleId="ListLabel25">
    <w:name w:val="ListLabel 25"/>
    <w:qFormat/>
    <w:rPr>
      <w:rFonts w:ascii="Times New Roman" w:hAnsi="Times New Roman"/>
      <w:b w:val="false"/>
      <w:bCs w:val="false"/>
    </w:rPr>
  </w:style>
  <w:style w:type="character" w:styleId="ListLabel26">
    <w:name w:val="ListLabel 26"/>
    <w:qFormat/>
    <w:rPr>
      <w:rFonts w:ascii="Times New Roman" w:hAnsi="Times New Roman"/>
      <w:color w:val="auto"/>
      <w:u w:val="none"/>
    </w:rPr>
  </w:style>
  <w:style w:type="character" w:styleId="ListLabel27">
    <w:name w:val="ListLabel 27"/>
    <w:qFormat/>
    <w:rPr>
      <w:rFonts w:ascii="Times New Roman" w:hAnsi="Times New Roman"/>
      <w:b w:val="false"/>
      <w:bCs w:val="false"/>
      <w:color w:val="000000"/>
      <w:lang w:val="en-GB"/>
    </w:rPr>
  </w:style>
  <w:style w:type="character" w:styleId="ListLabel28">
    <w:name w:val="ListLabel 28"/>
    <w:qFormat/>
    <w:rPr>
      <w:rFonts w:ascii="Times New Roman" w:hAnsi="Times New Roman"/>
      <w:b w:val="false"/>
      <w:bCs w:val="false"/>
      <w:lang w:val="en-GB"/>
    </w:rPr>
  </w:style>
  <w:style w:type="character" w:styleId="ListLabel29">
    <w:name w:val="ListLabel 29"/>
    <w:qFormat/>
    <w:rPr>
      <w:b w:val="false"/>
      <w:bCs w:val="false"/>
    </w:rPr>
  </w:style>
  <w:style w:type="character" w:styleId="ListLabel30">
    <w:name w:val="ListLabel 30"/>
    <w:qFormat/>
    <w:rPr>
      <w:color w:val="auto"/>
      <w:u w:val="none"/>
    </w:rPr>
  </w:style>
  <w:style w:type="character" w:styleId="ListLabel31">
    <w:name w:val="ListLabel 31"/>
    <w:qFormat/>
    <w:rPr>
      <w:b w:val="false"/>
      <w:bCs w:val="false"/>
    </w:rPr>
  </w:style>
  <w:style w:type="character" w:styleId="ListLabel32">
    <w:name w:val="ListLabel 32"/>
    <w:qFormat/>
    <w:rPr>
      <w:rFonts w:ascii="Times New Roman" w:hAnsi="Times New Roman"/>
      <w:b w:val="false"/>
      <w:bCs w:val="false"/>
    </w:rPr>
  </w:style>
  <w:style w:type="character" w:styleId="ListLabel33">
    <w:name w:val="ListLabel 33"/>
    <w:qFormat/>
    <w:rPr>
      <w:rFonts w:ascii="Times New Roman" w:hAnsi="Times New Roman"/>
      <w:color w:val="auto"/>
      <w:u w:val="none"/>
    </w:rPr>
  </w:style>
  <w:style w:type="character" w:styleId="ListLabel34">
    <w:name w:val="ListLabel 34"/>
    <w:qFormat/>
    <w:rPr>
      <w:rFonts w:ascii="Times New Roman" w:hAnsi="Times New Roman"/>
      <w:b w:val="false"/>
      <w:bCs w:val="false"/>
      <w:color w:val="000000"/>
      <w:lang w:val="en-GB"/>
    </w:rPr>
  </w:style>
  <w:style w:type="character" w:styleId="ListLabel35">
    <w:name w:val="ListLabel 35"/>
    <w:qFormat/>
    <w:rPr>
      <w:rFonts w:ascii="Times New Roman" w:hAnsi="Times New Roman"/>
      <w:b w:val="false"/>
      <w:bCs w:val="false"/>
      <w:lang w:val="en-GB"/>
    </w:rPr>
  </w:style>
  <w:style w:type="character" w:styleId="ListLabel36">
    <w:name w:val="ListLabel 36"/>
    <w:qFormat/>
    <w:rPr>
      <w:b w:val="false"/>
      <w:bCs w:val="false"/>
    </w:rPr>
  </w:style>
  <w:style w:type="character" w:styleId="ListLabel37">
    <w:name w:val="ListLabel 37"/>
    <w:qFormat/>
    <w:rPr>
      <w:color w:val="auto"/>
      <w:u w:val="none"/>
    </w:rPr>
  </w:style>
  <w:style w:type="character" w:styleId="ListLabel38">
    <w:name w:val="ListLabel 38"/>
    <w:qFormat/>
    <w:rPr>
      <w:b w:val="false"/>
      <w:bCs w:val="false"/>
    </w:rPr>
  </w:style>
  <w:style w:type="character" w:styleId="ListLabel39">
    <w:name w:val="ListLabel 39"/>
    <w:qFormat/>
    <w:rPr>
      <w:rFonts w:ascii="Times New Roman" w:hAnsi="Times New Roman"/>
      <w:b w:val="false"/>
      <w:bCs w:val="fals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i/>
      <w:iCs/>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07/2388960" TargetMode="External"/><Relationship Id="rId3" Type="http://schemas.openxmlformats.org/officeDocument/2006/relationships/hyperlink" Target="https://github.com/szefer-piotr/garden_experiment" TargetMode="External"/><Relationship Id="rId4" Type="http://schemas.openxmlformats.org/officeDocument/2006/relationships/hyperlink" Target="https://doi.org/10.1126/science.1225977" TargetMode="External"/><Relationship Id="rId5" Type="http://schemas.openxmlformats.org/officeDocument/2006/relationships/hyperlink" Target="https://doi.org/10.1002/ecy.1741" TargetMode="External"/><Relationship Id="rId6" Type="http://schemas.openxmlformats.org/officeDocument/2006/relationships/hyperlink" Target="https://doi.org/10.1038/s41598-017-00166-z" TargetMode="External"/><Relationship Id="rId7" Type="http://schemas.openxmlformats.org/officeDocument/2006/relationships/hyperlink" Target="https://doi.org/10.2307/2259591" TargetMode="External"/><Relationship Id="rId8" Type="http://schemas.openxmlformats.org/officeDocument/2006/relationships/hyperlink" Target="https://doi.org/10.1038/nature12911" TargetMode="External"/><Relationship Id="rId9" Type="http://schemas.openxmlformats.org/officeDocument/2006/relationships/hyperlink" Target="https://doi.org/10.1111/j.1461-0248.2010.01520.x" TargetMode="External"/><Relationship Id="rId10" Type="http://schemas.openxmlformats.org/officeDocument/2006/relationships/hyperlink" Target="https://doi.org/10.1073/pnas.0703333104" TargetMode="External"/><Relationship Id="rId11" Type="http://schemas.openxmlformats.org/officeDocument/2006/relationships/hyperlink" Target="https://doi.org/10.2307/2265794" TargetMode="External"/><Relationship Id="rId12" Type="http://schemas.openxmlformats.org/officeDocument/2006/relationships/hyperlink" Target="https://doi.org/10.18637/jss.v067.i01" TargetMode="External"/><Relationship Id="rId13" Type="http://schemas.openxmlformats.org/officeDocument/2006/relationships/hyperlink" Target="https://doi.org/10.1016/j.ppees.2016.11.003" TargetMode="External"/><Relationship Id="rId14" Type="http://schemas.openxmlformats.org/officeDocument/2006/relationships/hyperlink" Target="https://doi.org/10.1111/1365-2435.12579" TargetMode="External"/><Relationship Id="rId15" Type="http://schemas.openxmlformats.org/officeDocument/2006/relationships/hyperlink" Target="https://doi.org/10.1890/03-0561" TargetMode="External"/><Relationship Id="rId16" Type="http://schemas.openxmlformats.org/officeDocument/2006/relationships/hyperlink" Target="https://doi.org/10.1126/science.1187820" TargetMode="External"/><Relationship Id="rId17" Type="http://schemas.openxmlformats.org/officeDocument/2006/relationships/hyperlink" Target="https://doi.org/10.1111/j.1461-0248.2009.01362.x" TargetMode="External"/><Relationship Id="rId18" Type="http://schemas.openxmlformats.org/officeDocument/2006/relationships/hyperlink" Target="https://doi.org/10.1890/ES10-00117.1" TargetMode="External"/><Relationship Id="rId19" Type="http://schemas.openxmlformats.org/officeDocument/2006/relationships/hyperlink" Target="https://doi.org/10.1038/416427a" TargetMode="External"/><Relationship Id="rId20" Type="http://schemas.openxmlformats.org/officeDocument/2006/relationships/hyperlink" Target="https://doi.org/10.1146/annurev.ecolsys.31.1.343" TargetMode="External"/><Relationship Id="rId21" Type="http://schemas.openxmlformats.org/officeDocument/2006/relationships/hyperlink" Target="https://doi.org/10.2307/3565426" TargetMode="External"/><Relationship Id="rId22" Type="http://schemas.openxmlformats.org/officeDocument/2006/relationships/hyperlink" Target="https://doi.org/10.1126/science.230.4728.895" TargetMode="External"/><Relationship Id="rId23" Type="http://schemas.openxmlformats.org/officeDocument/2006/relationships/hyperlink" Target="https://www.scienceopen.com/document?vid=27c65cb8-4185-4276-8673-230e23e569c4" TargetMode="External"/><Relationship Id="rId24" Type="http://schemas.openxmlformats.org/officeDocument/2006/relationships/hyperlink" Target="https://doi.org/10.1111/jvs.12632" TargetMode="External"/><Relationship Id="rId25" Type="http://schemas.openxmlformats.org/officeDocument/2006/relationships/hyperlink" Target="https://doi.org/10.1146/annurev.en.34.010189.002531" TargetMode="External"/><Relationship Id="rId26" Type="http://schemas.openxmlformats.org/officeDocument/2006/relationships/hyperlink" Target="https://doi.org/10.18637/jss.v034.i02" TargetMode="External"/><Relationship Id="rId27" Type="http://schemas.openxmlformats.org/officeDocument/2006/relationships/hyperlink" Target="https://doi.org/10.1146/annurev.es.18.110187.002243" TargetMode="External"/><Relationship Id="rId28" Type="http://schemas.openxmlformats.org/officeDocument/2006/relationships/hyperlink" Target="https://doi.org/10.1002/ecy.2044" TargetMode="External"/><Relationship Id="rId29" Type="http://schemas.openxmlformats.org/officeDocument/2006/relationships/hyperlink" Target="https://doi.org/10.1111/nph.12562" TargetMode="External"/><Relationship Id="rId30" Type="http://schemas.openxmlformats.org/officeDocument/2006/relationships/hyperlink" Target="https://doi.org/10.1016/S0378-1127(00)00535-1" TargetMode="External"/><Relationship Id="rId31" Type="http://schemas.openxmlformats.org/officeDocument/2006/relationships/hyperlink" Target="https://doi.org/10.1086/417659" TargetMode="External"/><Relationship Id="rId32" Type="http://schemas.openxmlformats.org/officeDocument/2006/relationships/hyperlink" Target="https://doi.org/10.1073/pnas.1707984115" TargetMode="External"/><Relationship Id="rId33" Type="http://schemas.openxmlformats.org/officeDocument/2006/relationships/hyperlink" Target="https://doi.org/10.1111/j.1461-0248.2006.00953.x" TargetMode="External"/><Relationship Id="rId34" Type="http://schemas.openxmlformats.org/officeDocument/2006/relationships/hyperlink" Target="https://doi.org/10.1890/14-2125.1" TargetMode="External"/><Relationship Id="rId35" Type="http://schemas.openxmlformats.org/officeDocument/2006/relationships/hyperlink" Target="https://doi.org/10.1002/ecs2.1555" TargetMode="External"/><Relationship Id="rId36" Type="http://schemas.openxmlformats.org/officeDocument/2006/relationships/hyperlink" Target="https://doi.org/10.1002/ldr.3203" TargetMode="External"/><Relationship Id="rId37" Type="http://schemas.openxmlformats.org/officeDocument/2006/relationships/hyperlink" Target="https://doi.org/10.1038/nature16476" TargetMode="External"/><Relationship Id="rId38" Type="http://schemas.openxmlformats.org/officeDocument/2006/relationships/hyperlink" Target="https://doi.org/10.18637/jss.v082.i13" TargetMode="External"/><Relationship Id="rId39" Type="http://schemas.openxmlformats.org/officeDocument/2006/relationships/hyperlink" Target="https://doi.org/10.1073/pnas.1319342111" TargetMode="External"/><Relationship Id="rId40" Type="http://schemas.openxmlformats.org/officeDocument/2006/relationships/hyperlink" Target="https://doi.org/10.1111/oik.03562" TargetMode="External"/><Relationship Id="rId41" Type="http://schemas.openxmlformats.org/officeDocument/2006/relationships/hyperlink" Target="https://CRAN.R-project.org/package=emmeans" TargetMode="External"/><Relationship Id="rId42" Type="http://schemas.openxmlformats.org/officeDocument/2006/relationships/hyperlink" Target="https://doi.org/10.1890/0012-9658(1998)079%5B1678:ETILTF%5D2.0.CO;2" TargetMode="External"/><Relationship Id="rId43" Type="http://schemas.openxmlformats.org/officeDocument/2006/relationships/hyperlink" Target="https://doi.org/10.1038/nature09273" TargetMode="External"/><Relationship Id="rId44" Type="http://schemas.openxmlformats.org/officeDocument/2006/relationships/hyperlink" Target="https://doi.org/10.1017/S0266467401001080" TargetMode="External"/><Relationship Id="rId45" Type="http://schemas.openxmlformats.org/officeDocument/2006/relationships/hyperlink" Target="https://doi.org/10.1046/j.1365-2745.2001.00583.x" TargetMode="External"/><Relationship Id="rId46" Type="http://schemas.openxmlformats.org/officeDocument/2006/relationships/hyperlink" Target="https://doi.org/10.1093/biosci/biv108" TargetMode="External"/><Relationship Id="rId47" Type="http://schemas.openxmlformats.org/officeDocument/2006/relationships/hyperlink" Target="https://doi.org/10.1007/s00442-007-0710-6" TargetMode="External"/><Relationship Id="rId48" Type="http://schemas.openxmlformats.org/officeDocument/2006/relationships/hyperlink" Target="https://doi.org/10.1073/pnas.1001934107" TargetMode="External"/><Relationship Id="rId49" Type="http://schemas.openxmlformats.org/officeDocument/2006/relationships/hyperlink" Target="https://doi.org/10.1890/10-2241.1" TargetMode="External"/><Relationship Id="rId50" Type="http://schemas.openxmlformats.org/officeDocument/2006/relationships/hyperlink" Target="https://doi.org/10.1111/1365-2745.12821" TargetMode="External"/><Relationship Id="rId51" Type="http://schemas.openxmlformats.org/officeDocument/2006/relationships/hyperlink" Target="https://doi.org/10.1073/pnas.1500403112" TargetMode="External"/><Relationship Id="rId52" Type="http://schemas.openxmlformats.org/officeDocument/2006/relationships/hyperlink" Target="https://doi.org/10.1111/j.1461-0248.2009.01292.x" TargetMode="External"/><Relationship Id="rId53" Type="http://schemas.openxmlformats.org/officeDocument/2006/relationships/hyperlink" Target="https://doi.org/10.1111/j.1523-1739.2004.00293.x" TargetMode="External"/><Relationship Id="rId54" Type="http://schemas.openxmlformats.org/officeDocument/2006/relationships/hyperlink" Target="https://CRAN.R-project.org/package=vegan" TargetMode="External"/><Relationship Id="rId55" Type="http://schemas.openxmlformats.org/officeDocument/2006/relationships/hyperlink" Target="https://www.R-project.org/" TargetMode="External"/><Relationship Id="rId56" Type="http://schemas.openxmlformats.org/officeDocument/2006/relationships/hyperlink" Target="https://doi.org/10.1351/pac199769061349" TargetMode="External"/><Relationship Id="rId57" Type="http://schemas.openxmlformats.org/officeDocument/2006/relationships/hyperlink" Target="https://doi.org/10.1111/j.2006.0030-1299.15043.x" TargetMode="External"/><Relationship Id="rId58" Type="http://schemas.openxmlformats.org/officeDocument/2006/relationships/hyperlink" Target="https://doi.org/10.2307/2260625" TargetMode="External"/><Relationship Id="rId59" Type="http://schemas.openxmlformats.org/officeDocument/2006/relationships/hyperlink" Target="https://doi.org/10.1086/303311" TargetMode="External"/><Relationship Id="rId60" Type="http://schemas.openxmlformats.org/officeDocument/2006/relationships/hyperlink" Target="https://doi.org/10.1016/S0169-5347(02)02491-6" TargetMode="External"/><Relationship Id="rId61" Type="http://schemas.openxmlformats.org/officeDocument/2006/relationships/hyperlink" Target="https://doi.org/10.1038/ismej.2013.93" TargetMode="External"/><Relationship Id="rId62" Type="http://schemas.openxmlformats.org/officeDocument/2006/relationships/hyperlink" Target="https://doi.org/10.1890/09-0600.1" TargetMode="External"/><Relationship Id="rId63" Type="http://schemas.openxmlformats.org/officeDocument/2006/relationships/hyperlink" Target="https://doi.org/10.1016/j.tree.2003.10.005" TargetMode="External"/><Relationship Id="rId64" Type="http://schemas.openxmlformats.org/officeDocument/2006/relationships/hyperlink" Target="https://doi.org/10.1146/annurev.en.38.010193.000521" TargetMode="External"/><Relationship Id="rId65" Type="http://schemas.openxmlformats.org/officeDocument/2006/relationships/hyperlink" Target="https://doi.org/10.1017/CBO9780511542206" TargetMode="External"/><Relationship Id="rId66" Type="http://schemas.openxmlformats.org/officeDocument/2006/relationships/hyperlink" Target="https://doi.org/10.1007/s11258-011-0003-3" TargetMode="External"/><Relationship Id="rId67" Type="http://schemas.openxmlformats.org/officeDocument/2006/relationships/hyperlink" Target="https://doi.org/10.1155/2014/702909" TargetMode="External"/><Relationship Id="rId68" Type="http://schemas.openxmlformats.org/officeDocument/2006/relationships/hyperlink" Target="https://doi.org/10.1111/j.1600-0587.2011.07181.x" TargetMode="External"/><Relationship Id="rId69" Type="http://schemas.openxmlformats.org/officeDocument/2006/relationships/hyperlink" Target="https://doi.org/10.1890/11-0503.1" TargetMode="External"/><Relationship Id="rId70" Type="http://schemas.openxmlformats.org/officeDocument/2006/relationships/hyperlink" Target="https://doi.org/10.1080/17550874.2012.735714" TargetMode="External"/><Relationship Id="rId71" Type="http://schemas.openxmlformats.org/officeDocument/2006/relationships/hyperlink" Target="https://doi.org/10.1007/BF02767114" TargetMode="External"/><Relationship Id="rId72" Type="http://schemas.openxmlformats.org/officeDocument/2006/relationships/image" Target="media/image1.png"/><Relationship Id="rId73" Type="http://schemas.openxmlformats.org/officeDocument/2006/relationships/image" Target="media/image2.png"/><Relationship Id="rId74" Type="http://schemas.openxmlformats.org/officeDocument/2006/relationships/image" Target="media/image3.png"/><Relationship Id="rId75" Type="http://schemas.openxmlformats.org/officeDocument/2006/relationships/image" Target="media/image4.png"/><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2515</TotalTime>
  <Application>LibreOffice/6.1.5.2$Linux_X86_64 LibreOffice_project/10$Build-2</Application>
  <Pages>34</Pages>
  <Words>8064</Words>
  <Characters>47812</Characters>
  <CharactersWithSpaces>55695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2019-03-11T18:20:00Z</dcterms:created>
  <dc:creator>Novotný Vojtěch</dc:creator>
  <dc:description/>
  <dc:language>en-US</dc:language>
  <cp:lastModifiedBy/>
  <cp:lastPrinted>2018-09-05T16:44:00Z</cp:lastPrinted>
  <dcterms:modified xsi:type="dcterms:W3CDTF">2019-03-24T15:36:52Z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