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have on secondary succession of a tropical rainforest vegetation</w:t>
      </w:r>
    </w:p>
    <w:p>
      <w:pPr>
        <w:pStyle w:val="TextBody"/>
        <w:rPr>
          <w:lang w:val="en-GB"/>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lang w:val="en-GB"/>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lang w:val="en-GB"/>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lang w:val="en-GB"/>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lang w:val="en-GB"/>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experimentally manipulated insect herbivores, fungal pathogens and predators on replicated 5x5 m success</w:t>
      </w:r>
      <w:bookmarkStart w:id="2" w:name="move5241808911"/>
      <w:bookmarkEnd w:id="2"/>
      <w:r>
        <w:rPr>
          <w:rFonts w:ascii="Times New Roman" w:hAnsi="Times New Roman"/>
          <w:lang w:val="en-GB"/>
        </w:rPr>
        <w:t>ional plots using broad spectrum insecticides, fungicides, predator exclosures and herbivore introductions.</w:t>
      </w:r>
    </w:p>
    <w:p>
      <w:pPr>
        <w:pStyle w:val="TextBody"/>
        <w:rPr/>
      </w:pPr>
      <w:r>
        <w:rPr>
          <w:rFonts w:ascii="Times New Roman" w:hAnsi="Times New Roman"/>
          <w:lang w:val="en-GB"/>
        </w:rPr>
        <w:t>3. In early successional stages of tropical rainforest insects increased diversity and total biomass of the community. However, increasing pressure of generalist herbivores didnt further incresae that effects result and their strong pressure caused biomass to decrease. Fungal pathogens and top predators increase abundance, measured as stem density, of woody plants. Presence of both insects and top predators increased predictability of community assembly processes possibly through decrease in number of random events in community assembly processes.</w:t>
      </w:r>
    </w:p>
    <w:p>
      <w:pPr>
        <w:pStyle w:val="TextBody"/>
        <w:rPr/>
      </w:pPr>
      <w:r>
        <w:rPr>
          <w:rFonts w:ascii="Times New Roman" w:hAnsi="Times New Roman"/>
          <w:i/>
          <w:iCs/>
          <w:lang w:val="en-GB"/>
        </w:rPr>
        <w:t>4. Synthesis</w:t>
      </w:r>
      <w:r>
        <w:rPr>
          <w:rFonts w:ascii="Times New Roman" w:hAnsi="Times New Roman"/>
          <w:lang w:val="en-GB"/>
        </w:rPr>
        <w:t>. During early successional processes, as opposed to primary forests, insects have important, diversity enhancing abilities and they also control biomass and community composition. Simplified or disturbed aboveground insect communities and their predators can have detrimental effects on community assembly processes, which potentially can slow down regeneration of tropical forests. Importance of pathogenic fungi may increases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w:t>
      </w:r>
      <w:r>
        <w:rPr>
          <w:rFonts w:ascii="Times New Roman" w:hAnsi="Times New Roman"/>
          <w:highlight w:val="yellow"/>
          <w:lang w:val="en-GB"/>
        </w:rPr>
        <w:t>ontrarily predators should, by limiting herbivores abundance, have decreasing effects on the community compositon [???]</w:t>
      </w:r>
      <w:r>
        <w:rPr>
          <w:rFonts w:ascii="Times New Roman" w:hAnsi="Times New Roman"/>
          <w:lang w:val="en-GB"/>
        </w:rPr>
        <w:t xml:space="preserve">. We also test if we would be able to further strengthen impacts of herbivores on community composition by increasing abundance of generalist herbivores. Impact of pathogenic fungi, at least for the initial stages of secondary succession, may be weaker than in primary forest because of the unfavourable micro-climatic conditions, </w:t>
      </w:r>
      <w:r>
        <w:rPr>
          <w:rFonts w:ascii="Times New Roman" w:hAnsi="Times New Roman"/>
          <w:highlight w:val="yellow"/>
          <w:lang w:val="en-GB"/>
        </w:rPr>
        <w:t>but we consider this experiment important in the view of their importance in primary forests</w:t>
      </w:r>
      <w:r>
        <w:rPr>
          <w:rFonts w:ascii="Times New Roman" w:hAnsi="Times New Roman"/>
          <w:lang w:val="en-GB"/>
        </w:rPr>
        <w:t xml:space="preserve">. Finally we hypothesize that the biotic factors, </w:t>
      </w:r>
      <w:r>
        <w:rPr>
          <w:rFonts w:ascii="Times New Roman" w:hAnsi="Times New Roman"/>
          <w:highlight w:val="yellow"/>
          <w:lang w:val="en-GB"/>
        </w:rPr>
        <w:t>by responding to the initial plant composition, determined mostly by dispersal, in predictable manner, increase predictability of succession trajectories by increasing determinism of the community assembly process.</w:t>
      </w:r>
    </w:p>
    <w:p>
      <w:pPr>
        <w:pStyle w:val="TextBody"/>
        <w:rPr>
          <w:rFonts w:ascii="Times New Roman" w:hAnsi="Times New Roman"/>
          <w:color w:val="111111"/>
          <w:lang w:val="en-GB"/>
        </w:rPr>
      </w:pPr>
      <w:r>
        <w:rPr>
          <w:rFonts w:ascii="Times New Roman" w:hAnsi="Times New Roman"/>
          <w:color w:val="111111"/>
          <w:lang w:val="en-GB"/>
        </w:rPr>
      </w:r>
    </w:p>
    <w:p>
      <w:pPr>
        <w:pStyle w:val="TextBody"/>
        <w:rPr>
          <w:rFonts w:ascii="Times New Roman" w:hAnsi="Times New Roman"/>
          <w:b/>
          <w:b/>
          <w:bCs/>
          <w:lang w:val="en-GB"/>
        </w:rPr>
      </w:pPr>
      <w:bookmarkStart w:id="3" w:name="materials-and-methods"/>
      <w:bookmarkEnd w:id="3"/>
      <w:r>
        <w:rPr>
          <w:rFonts w:ascii="Times New Roman" w:hAnsi="Times New Roman"/>
          <w:b/>
          <w:bCs/>
          <w:lang w:val="en-GB"/>
        </w:rPr>
        <w:t>Materials and methods</w:t>
      </w:r>
    </w:p>
    <w:p>
      <w:pPr>
        <w:pStyle w:val="TextBody"/>
        <w:rPr>
          <w:rFonts w:ascii="Times New Roman" w:hAnsi="Times New Roman"/>
          <w:i/>
          <w:i/>
          <w:iCs/>
          <w:lang w:val="en-GB"/>
        </w:rPr>
      </w:pPr>
      <w:bookmarkStart w:id="4" w:name="study-sites"/>
      <w:bookmarkEnd w:id="4"/>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gardnes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in press).</w:t>
      </w:r>
    </w:p>
    <w:p>
      <w:pPr>
        <w:pStyle w:val="TextBody"/>
        <w:rPr/>
      </w:pPr>
      <w:bookmarkStart w:id="5" w:name="experimental-design"/>
      <w:bookmarkEnd w:id="5"/>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 [</w:t>
      </w:r>
      <w:r>
        <w:rPr>
          <w:rFonts w:ascii="Times New Roman" w:hAnsi="Times New Roman"/>
          <w:highlight w:val="yellow"/>
          <w:lang w:val="en-GB"/>
        </w:rPr>
        <w:t xml:space="preserve"> I agree, I should change the ordering. Before I thought that I will be analysing community responses in a gradient of herbivory </w:t>
      </w:r>
      <w:r>
        <w:rPr>
          <w:rFonts w:ascii="Times New Roman" w:hAnsi="Times New Roman"/>
          <w:lang w:val="en-GB"/>
        </w:rPr>
        <w:t>] :</w:t>
      </w:r>
    </w:p>
    <w:p>
      <w:pPr>
        <w:pStyle w:val="TextBody"/>
        <w:rPr/>
      </w:pPr>
      <w:r>
        <w:rPr>
          <w:rFonts w:ascii="Times New Roman" w:hAnsi="Times New Roman"/>
          <w:lang w:val="en-GB"/>
        </w:rPr>
        <w:t>1. Exclusion of pathogenic fungi (F). To reduce infections by wide range of fungal pathogens, contact fungicide mancozeb (12.5 g soluble powder per 5l, commercial name: Mancozeb) was applied on above ground plants according to manufacturer’s instructions at weekly intervals.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pPr>
      <w:r>
        <w:rPr>
          <w:rFonts w:ascii="Times New Roman" w:hAnsi="Times New Roman"/>
          <w:lang w:val="en-GB"/>
        </w:rPr>
        <w:t>2.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pPr>
      <w:r>
        <w:rPr>
          <w:rFonts w:ascii="Times New Roman" w:hAnsi="Times New Roman"/>
          <w:lang w:val="en-GB"/>
        </w:rPr>
        <w:t>3. Control (C) and was sprayed weekly with appropriate amount of water. A dummy fence was used as in F.</w:t>
      </w:r>
    </w:p>
    <w:p>
      <w:pPr>
        <w:pStyle w:val="TextBody"/>
        <w:rPr>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I to prevent ants from invading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6" w:name="sampling"/>
      <w:bookmarkEnd w:id="6"/>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herbivory.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lang w:val="en-GB"/>
        </w:rPr>
        <w:t>We used linear mixed models with block (garden) taken as a random factor and we allowed to both intercept and slope to differ between blocks. To compare different community descriptors of our treatment plots to the control w</w:t>
      </w:r>
      <w:r>
        <w:rPr>
          <w:rFonts w:ascii="Times New Roman" w:hAnsi="Times New Roman"/>
          <w:i w:val="false"/>
          <w:iCs w:val="false"/>
          <w:lang w:val="en-GB"/>
        </w:rPr>
        <w:t>e fitted our models in a Bayesian framework using H</w:t>
      </w:r>
      <w:r>
        <w:rPr>
          <w:rFonts w:ascii="Times New Roman" w:hAnsi="Times New Roman"/>
          <w:lang w:val="en-GB"/>
        </w:rPr>
        <w:t xml:space="preserve">amiltonian Monte Carlo sampler in STAN implemented in brm function from </w:t>
      </w:r>
      <w:r>
        <w:rPr>
          <w:rFonts w:ascii="Times New Roman" w:hAnsi="Times New Roman"/>
          <w:i/>
          <w:iCs/>
          <w:lang w:val="en-GB"/>
        </w:rPr>
        <w:t>brms</w:t>
      </w:r>
      <w:r>
        <w:rPr>
          <w:rFonts w:ascii="Times New Roman" w:hAnsi="Times New Roman"/>
          <w:lang w:val="en-GB"/>
        </w:rPr>
        <w:t xml:space="preserve"> package (B</w:t>
      </w:r>
      <w:r>
        <w:rPr>
          <w:rFonts w:eastAsia="SimSun" w:cs="Arial" w:ascii="Times New Roman" w:hAnsi="Times New Roman"/>
          <w:lang w:val="en-GB"/>
        </w:rPr>
        <w:t>ü</w:t>
      </w:r>
      <w:r>
        <w:rPr>
          <w:rFonts w:ascii="Times New Roman" w:hAnsi="Times New Roman"/>
          <w:lang w:val="en-GB"/>
        </w:rPr>
        <w:t xml:space="preserve">rkner 2017) in R (R Development Team, 2016). We performed additional post-hoc comparisons where we sampled from posterior distributions of compared treatments and using 2.5% and 97.5% quantiles to test significance of these differences to be different than zero. </w:t>
      </w:r>
      <w:r>
        <w:rPr>
          <w:rFonts w:ascii="Times New Roman" w:hAnsi="Times New Roman"/>
          <w:highlight w:val="yellow"/>
          <w:lang w:val="en-GB"/>
        </w:rPr>
        <w:t xml:space="preserve">[ report...I need to decide </w:t>
      </w:r>
      <w:r>
        <w:rPr>
          <w:rFonts w:eastAsia="SimSun" w:cs="Arial" w:ascii="Times New Roman" w:hAnsi="Times New Roman"/>
          <w:color w:val="00000A"/>
          <w:sz w:val="24"/>
          <w:szCs w:val="24"/>
          <w:highlight w:val="yellow"/>
          <w:lang w:val="en-GB" w:eastAsia="zh-CN" w:bidi="hi-IN"/>
        </w:rPr>
        <w:t>what…</w:t>
      </w:r>
      <w:r>
        <w:rPr>
          <w:rFonts w:ascii="Times New Roman" w:hAnsi="Times New Roman"/>
          <w:highlight w:val="yellow"/>
          <w:lang w:val="en-GB"/>
        </w:rPr>
        <w:t xml:space="preserve"> R2, AIC, explained deviance? ]</w:t>
      </w:r>
      <w:r>
        <w:rPr>
          <w:rFonts w:ascii="Times New Roman" w:hAnsi="Times New Roman"/>
          <w:lang w:val="en-GB"/>
        </w:rPr>
        <w:t xml:space="preserve">. Values of herbivory and LDMC were logit transformed, and SLA log transformed prior to the analyses to obtain Gaussian error distributions. In case of number of species and number of stems per plot residuals were modeled using Poisson distrubution, where we also tested for overdispersion. </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abundances of species between locations we standardized plant composition samples by total abundance within the plot. </w:t>
      </w:r>
    </w:p>
    <w:p>
      <w:pPr>
        <w:pStyle w:val="TextBody"/>
        <w:rPr/>
      </w:pPr>
      <w:r>
        <w:rPr>
          <w:rFonts w:ascii="Times New Roman" w:hAnsi="Times New Roman"/>
          <w:lang w:val="en-GB"/>
        </w:rPr>
        <w:t>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In our case we adapted this procedure to species’ biomass instead of number of individuals. We also modified previous approaches by constraining for each randomization our dataset only to control plots and one treatment plot, so that experimental communities (30 plots vs. 6 control plots) would not be over-represented in the randomization procedure. Therefore, in each procedure we subsetted full community dataset to 12 plots (six control plots and six treatment plots) for each of the five different comparisons between control plot and experimental treatments. For any given pair of plots both plant communities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speciess accros all 12 plots for a given control and treatment combination. For each pair of plots random assembly process</w:t>
      </w:r>
      <w:r>
        <w:rPr>
          <w:rFonts w:ascii="Times New Roman" w:hAnsi="Times New Roman"/>
          <w:b w:val="false"/>
          <w:bCs w:val="false"/>
          <w:color w:val="222222"/>
          <w:lang w:val="en-GB"/>
        </w:rPr>
        <w:t xml:space="preserve"> was reapeated 999 times and at each randomization Bray-Curtis (BC) 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w:t>
      </w:r>
      <w:r>
        <w:rPr>
          <w:rFonts w:ascii="Times New Roman" w:hAnsi="Times New Roman"/>
          <w:b w:val="false"/>
          <w:bCs w:val="false"/>
          <w:color w:val="222222"/>
          <w:highlight w:val="yellow"/>
          <w:lang w:val="en-GB"/>
        </w:rPr>
        <w:t>[here it becomes dissimilarity]</w:t>
      </w:r>
      <w:r>
        <w:rPr>
          <w:rFonts w:ascii="Times New Roman" w:hAnsi="Times New Roman"/>
          <w:b w:val="false"/>
          <w:bCs w:val="false"/>
          <w:color w:val="222222"/>
          <w:lang w:val="en-GB"/>
        </w:rPr>
        <w:t xml:space="preserve">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setan average Raup-Crick value for any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 xml:space="preserve">After one year of regrowth, the vegetation across all experimental plots comprised 96 plant species (Table S1), including 40 woody species. </w:t>
      </w:r>
      <w:r>
        <w:rPr>
          <w:rFonts w:ascii="Times New Roman" w:hAnsi="Times New Roman"/>
          <w:highlight w:val="yellow"/>
          <w:lang w:val="en-GB"/>
        </w:rPr>
        <w:t xml:space="preserve">[ </w:t>
      </w:r>
      <w:r>
        <w:rPr>
          <w:b w:val="false"/>
          <w:i w:val="false"/>
          <w:color w:val="00000A"/>
          <w:sz w:val="22"/>
          <w:highlight w:val="yellow"/>
        </w:rPr>
        <w:t xml:space="preserve">it would be good dive a bit </w:t>
      </w:r>
      <w:r>
        <w:rPr>
          <w:color w:val="00000A"/>
          <w:highlight w:val="yellow"/>
        </w:rPr>
        <w:t>more description of the vegetation, maybe a few dominants, height, mean biomass etc so the reader has some grasp of how it looked like, plus there should be some photos of a representative block in the supplementary data</w:t>
      </w:r>
      <w:r>
        <w:rPr>
          <w:rFonts w:ascii="Times New Roman" w:hAnsi="Times New Roman"/>
          <w:highlight w:val="yellow"/>
          <w:lang w:val="en-GB"/>
        </w:rPr>
        <w:t xml:space="preserve"> ]</w:t>
      </w:r>
      <w:r>
        <w:rPr>
          <w:rFonts w:ascii="Times New Roman" w:hAnsi="Times New Roman"/>
          <w:lang w:val="en-GB"/>
        </w:rPr>
        <w:t xml:space="preserve"> Most abundant species included: . Average biomass collected from a single experimental plot: …. .Individual blocks differed in their plant composition with an average Bray-Curtis similarity between control plots was 0.52 (</w:t>
      </w:r>
      <w:r>
        <w:rPr>
          <w:rFonts w:ascii="Times New Roman" w:hAnsi="Times New Roman"/>
          <w:highlight w:val="green"/>
          <w:lang w:val="en-GB"/>
        </w:rPr>
        <w:t>min-max</w:t>
      </w:r>
      <w:r>
        <w:rPr>
          <w:rFonts w:ascii="Times New Roman" w:hAnsi="Times New Roman"/>
          <w:lang w:val="en-GB"/>
        </w:rPr>
        <w:t>) for the whole above-ground community and 0.45 for the woody species communities. One plot treated with insecticide was an outlier overgro</w:t>
      </w:r>
      <w:bookmarkStart w:id="7" w:name="rstudio_console_output6"/>
      <w:bookmarkEnd w:id="7"/>
      <w:r>
        <w:rPr>
          <w:rFonts w:ascii="Times New Roman" w:hAnsi="Times New Roman"/>
          <w:lang w:val="en-GB"/>
        </w:rPr>
        <w:t xml:space="preserve">wn by a vine </w:t>
      </w:r>
      <w:r>
        <w:rPr>
          <w:rFonts w:ascii="Times New Roman" w:hAnsi="Times New Roman"/>
          <w:i/>
          <w:iCs/>
          <w:lang w:val="en-GB"/>
        </w:rPr>
        <w:t>Calopogonium mucunoides</w:t>
      </w:r>
      <w:r>
        <w:rPr>
          <w:rFonts w:ascii="Times New Roman" w:hAnsi="Times New Roman"/>
          <w:lang w:val="en-GB"/>
        </w:rPr>
        <w:t xml:space="preserve"> Desv. (72% of the total </w:t>
      </w:r>
      <w:r>
        <w:rPr>
          <w:rFonts w:ascii="Times New Roman" w:hAnsi="Times New Roman"/>
          <w:i w:val="false"/>
          <w:iCs w:val="false"/>
          <w:lang w:val="en-GB"/>
        </w:rPr>
        <w:t xml:space="preserve">biomass of the plot). This plot was treated as an outlier and removed from the analyses [ </w:t>
      </w:r>
      <w:r>
        <w:rPr>
          <w:rFonts w:ascii="Times New Roman" w:hAnsi="Times New Roman"/>
          <w:i w:val="false"/>
          <w:iCs w:val="false"/>
          <w:highlight w:val="yellow"/>
          <w:lang w:val="en-GB"/>
        </w:rPr>
        <w:t xml:space="preserve">but was it removed also from ordination???!!! </w:t>
      </w:r>
      <w:r>
        <w:rPr>
          <w:rFonts w:ascii="Times New Roman" w:hAnsi="Times New Roman"/>
          <w:i w:val="false"/>
          <w:iCs w:val="false"/>
          <w:lang w:val="en-GB"/>
        </w:rPr>
        <w:t>] .</w:t>
      </w:r>
    </w:p>
    <w:p>
      <w:pPr>
        <w:pStyle w:val="TextBody"/>
        <w:rPr>
          <w:i w:val="false"/>
          <w:i w:val="false"/>
          <w:iCs w:val="false"/>
        </w:rPr>
      </w:pPr>
      <w:r>
        <w:rPr>
          <w:rFonts w:ascii="Times New Roman" w:hAnsi="Times New Roman"/>
          <w:i w:val="false"/>
          <w:iCs w:val="false"/>
          <w:lang w:val="en-GB"/>
        </w:rPr>
        <w:t>The insecticide treatment (I) altered the species composition of the entire vegetation and the woody plant community (Fig 2., permutation test, F=2.828, P = 0.011 and F = 2.892, P = 0.023 respectively) resulting in simplified structure with only few distinct dominants (Supplementary Information, Fig. S1). This shift in community structure was driven mainly by high dominance of Melanolepis multiglandulosa, together with decreased abundance of Pipturus argenteus.  High herbivory pressure (H2) had an effect opposite to the insecticide treatment and was marginally significant only for the full community (F = 2.017, P = 0.052). No significance was found for other treatments. Differences in the community composition were driven only by few species of woody plants, measured by their partial contribution to the total variance. These were: Melochia sp. 1 (6% the whole community, 7.3% only for woody plants) showing strong preference to the moderately increased herbivory treatment; Pipturus argenteus (G.Forster) Wedd (4.5% and 6.3%) was most abundant at the insecticide treatment plots; Trema orientalis xxx (1.1% and 3.9%) showed a positive reaction to the fungicide treatment and Melanolepis multiglandulosa (Reinw. ex Bl.) Reichb.f. &amp; Zoll. (1.3% and 0.8 %) was most abundant on the plots with increased herbivory. In our</w:t>
      </w:r>
      <w:r>
        <w:rPr>
          <w:rFonts w:ascii="Times New Roman" w:hAnsi="Times New Roman"/>
          <w:i w:val="false"/>
          <w:iCs w:val="false"/>
          <w:color w:val="111111"/>
          <w:lang w:val="en-GB"/>
        </w:rPr>
        <w:t xml:space="preserve"> data high abundance of Oribius sp. caused shift in plant community structure which resulted in increased abundance of M. multiglandulosa which was otherwise losing in competition with P. argenteus on insecticide treated plots (Fig. 2), whereas Melochia sp. Showed increased abundance on H1 plots.</w:t>
      </w:r>
    </w:p>
    <w:p>
      <w:pPr>
        <w:pStyle w:val="TextBody"/>
        <w:rPr/>
      </w:pPr>
      <w:r>
        <w:rPr>
          <w:rFonts w:ascii="Times New Roman" w:hAnsi="Times New Roman"/>
          <w:i w:val="false"/>
          <w:iCs w:val="false"/>
          <w:lang w:val="en-GB"/>
        </w:rPr>
        <w:t>The  effects of individual treatments often cha</w:t>
      </w:r>
      <w:r>
        <w:rPr>
          <w:rFonts w:ascii="Times New Roman" w:hAnsi="Times New Roman"/>
          <w:lang w:val="en-GB"/>
        </w:rPr>
        <w:t xml:space="preserve">nged between all vegetation and woody plant (Table 1). The fungicide treatment (F) decreased stem density of woody plants (z-value = -5.202, P  &lt; 0.001) </w:t>
      </w:r>
      <w:r>
        <w:rPr>
          <w:rFonts w:ascii="Times New Roman" w:hAnsi="Times New Roman"/>
          <w:strike/>
          <w:highlight w:val="yellow"/>
          <w:lang w:val="en-GB"/>
        </w:rPr>
        <w:t>and showed a marginally significant tendency to decrease species richness of woody plant species (z-value = -1.701, P = 0.089)</w:t>
      </w:r>
      <w:r>
        <w:rPr>
          <w:rFonts w:ascii="Times New Roman" w:hAnsi="Times New Roman"/>
          <w:highlight w:val="yellow"/>
          <w:lang w:val="en-GB"/>
        </w:rPr>
        <w:t>.</w:t>
      </w:r>
      <w:r>
        <w:rPr>
          <w:rFonts w:ascii="Times New Roman" w:hAnsi="Times New Roman"/>
          <w:lang w:val="en-GB"/>
        </w:rPr>
        <w:t xml:space="preserve"> Insecticide (I) treated plots had lower number of species per plot (T = -2.046, P = 0.041) and lower diversity measured by Shannon’s H’ (T value = -2.543, P = 0.018) in the whole plant community. </w:t>
      </w:r>
      <w:r>
        <w:rPr>
          <w:rFonts w:ascii="Times New Roman" w:hAnsi="Times New Roman"/>
          <w:strike/>
          <w:highlight w:val="yellow"/>
          <w:lang w:val="en-GB"/>
        </w:rPr>
        <w:t>For the tree communities the same patterns for species richness and diversity were visible, but only marginally significant (P = 0.089 and  0.062 respectively)</w:t>
      </w:r>
      <w:r>
        <w:rPr>
          <w:rFonts w:ascii="Times New Roman" w:hAnsi="Times New Roman"/>
          <w:highlight w:val="yellow"/>
          <w:lang w:val="en-GB"/>
        </w:rPr>
        <w:t xml:space="preserve">. </w:t>
      </w:r>
      <w:r>
        <w:rPr>
          <w:rFonts w:ascii="Times New Roman" w:hAnsi="Times New Roman"/>
          <w:strike/>
          <w:highlight w:val="yellow"/>
          <w:lang w:val="en-GB"/>
        </w:rPr>
        <w:t>Lower average evenness for the whole community was only marginally significant (T value = -2.002, P = 0.056) and there was no strong evidence for the same effect in the woody plant community.</w:t>
      </w:r>
      <w:r>
        <w:rPr>
          <w:rFonts w:ascii="Times New Roman" w:hAnsi="Times New Roman"/>
          <w:lang w:val="en-GB"/>
        </w:rPr>
        <w:t xml:space="preserve"> Plots protected from predators (P) had a lower number of stems (Z value = -3.398, P = 0.001) </w:t>
      </w:r>
      <w:r>
        <w:rPr>
          <w:rFonts w:ascii="Times New Roman" w:hAnsi="Times New Roman"/>
          <w:strike/>
          <w:highlight w:val="yellow"/>
          <w:lang w:val="en-GB"/>
        </w:rPr>
        <w:t>and there was some, marginally significant, evidence for higher evenness (T value = 1.841, P = 0.078) for woody plants communities.</w:t>
      </w:r>
      <w:r>
        <w:rPr>
          <w:rFonts w:ascii="Times New Roman" w:hAnsi="Times New Roman"/>
          <w:highlight w:val="yellow"/>
          <w:lang w:val="en-GB"/>
        </w:rPr>
        <w:t xml:space="preserve"> </w:t>
      </w:r>
      <w:r>
        <w:rPr>
          <w:rFonts w:ascii="Times New Roman" w:hAnsi="Times New Roman"/>
          <w:strike/>
          <w:highlight w:val="yellow"/>
          <w:lang w:val="en-GB"/>
        </w:rPr>
        <w:t xml:space="preserve">Low herbivory increase (H1) caused marginally significant decrease in diversity (T value = -1.923, P = 0.066) and evenness (T value = -1.829, P = 0.079) for the whole community. </w:t>
      </w:r>
      <w:r>
        <w:rPr>
          <w:rFonts w:ascii="Times New Roman" w:hAnsi="Times New Roman"/>
          <w:lang w:val="en-GB"/>
        </w:rPr>
        <w:t>High herbivory increase (H2) was the only treatment to decrease the plant biomass both in the whole community and the woody plants (T value = -3.389, P = 0.002 and T value = -3.077, P = 0.005 respectively). Herbivores at the high abundance also significantly reduced the number of stems per plot (T value = -6.707, P &lt; 0.001).</w:t>
      </w:r>
    </w:p>
    <w:p>
      <w:pPr>
        <w:pStyle w:val="TextBody"/>
        <w:rPr/>
      </w:pPr>
      <w:r>
        <w:rPr>
          <w:rFonts w:ascii="Times New Roman" w:hAnsi="Times New Roman"/>
          <w:lang w:val="en-GB"/>
        </w:rPr>
        <w:t>The insecticide treatment had a marginally significant decrease in SLA and increase in LDMC (T</w:t>
      </w:r>
      <w:r>
        <w:rPr>
          <w:rFonts w:ascii="Times New Roman" w:hAnsi="Times New Roman"/>
          <w:strike/>
          <w:lang w:val="en-GB"/>
        </w:rPr>
        <w:t xml:space="preserve"> value = -1.970, P = 0.060, T value = 2.481 and P = 0.020 respectively</w:t>
      </w:r>
      <w:r>
        <w:rPr>
          <w:rFonts w:ascii="Times New Roman" w:hAnsi="Times New Roman"/>
          <w:lang w:val="en-GB"/>
        </w:rPr>
        <w:t xml:space="preserve">).  Similar pattern for LDMC was observed for the woody plant species community (T value = 2.168, P = 0.040). Woody plants showed evidence for higher herbivory damage on plots protected from predators (P) and on the plots with high herbivory pressure (H2) (T value = 2.421, P = 0.023 and T value = 2.395, P = 0.023 respectively) (Fig. 3). </w:t>
      </w:r>
    </w:p>
    <w:p>
      <w:pPr>
        <w:pStyle w:val="TextBody"/>
        <w:rPr/>
      </w:pPr>
      <w:r>
        <w:rPr>
          <w:rFonts w:ascii="Times New Roman" w:hAnsi="Times New Roman"/>
          <w:lang w:val="en-GB"/>
        </w:rPr>
        <w:t xml:space="preserve">In our experiments </w:t>
      </w:r>
      <w:r>
        <w:rPr>
          <w:rFonts w:ascii="Times New Roman" w:hAnsi="Times New Roman"/>
          <w:i/>
          <w:iCs/>
          <w:lang w:val="en-GB"/>
        </w:rPr>
        <w:t>P. argenteus</w:t>
      </w:r>
      <w:r>
        <w:rPr>
          <w:rFonts w:ascii="Times New Roman" w:hAnsi="Times New Roman"/>
          <w:lang w:val="en-GB"/>
        </w:rPr>
        <w:t xml:space="preserve"> suffered greater herbivory across control plots than </w:t>
      </w:r>
      <w:r>
        <w:rPr>
          <w:rFonts w:ascii="Times New Roman" w:hAnsi="Times New Roman"/>
          <w:i/>
          <w:iCs/>
          <w:lang w:val="en-GB"/>
        </w:rPr>
        <w:t>M. multiglandulosa</w:t>
      </w:r>
      <w:r>
        <w:rPr>
          <w:rFonts w:ascii="Times New Roman" w:hAnsi="Times New Roman"/>
          <w:lang w:val="en-GB"/>
        </w:rPr>
        <w:t xml:space="preserve"> (</w:t>
      </w:r>
      <w:r>
        <w:rPr>
          <w:rFonts w:ascii="Times New Roman" w:hAnsi="Times New Roman"/>
          <w:highlight w:val="yellow"/>
          <w:lang w:val="en-GB"/>
        </w:rPr>
        <w:t>[t test? No! mixed effect model with individuals as a response]</w:t>
      </w:r>
      <w:r>
        <w:rPr>
          <w:rFonts w:ascii="Times New Roman" w:hAnsi="Times New Roman"/>
          <w:lang w:val="en-GB"/>
        </w:rPr>
        <w:t xml:space="preserve"> Supplementary Information, Fig. S4). Evenness was affected positively, which would suggest rare species being removed from the community, but the 23.94 % average richness decrease was not significant. However, at majority of the plots, from which predators were exclude, lower number of species was observed (Fig. 1). </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8" w:name="rstudio_console_output2"/>
      <w:bookmarkEnd w:id="8"/>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pPr>
      <w:r>
        <w:rPr>
          <w:rFonts w:ascii="Times New Roman" w:hAnsi="Times New Roman"/>
          <w:color w:val="111111"/>
          <w:lang w:val="en-GB"/>
        </w:rPr>
        <w:t xml:space="preserve">TOP down effect of predators </w:t>
      </w:r>
      <w:r>
        <w:rPr>
          <w:rFonts w:ascii="Times New Roman" w:hAnsi="Times New Roman"/>
          <w:color w:val="000000"/>
          <w:lang w:val="en-GB"/>
        </w:rPr>
        <w:t xml:space="preserve">This might be the case here, as we found average 37.7% decrease in </w:t>
      </w:r>
      <w:r>
        <w:rPr>
          <w:rFonts w:ascii="Times New Roman" w:hAnsi="Times New Roman"/>
          <w:color w:val="000000"/>
          <w:sz w:val="24"/>
          <w:szCs w:val="24"/>
          <w:lang w:val="en-GB"/>
        </w:rPr>
        <w:t xml:space="preserve">biomass without predators against the reported 14%, and intermediate predaceous arthropods are represented by spiders and mantids. </w:t>
      </w:r>
    </w:p>
    <w:p>
      <w:pPr>
        <w:pStyle w:val="TextBody"/>
        <w:rPr>
          <w:rFonts w:ascii="Times New Roman" w:hAnsi="Times New Roman"/>
          <w:sz w:val="24"/>
          <w:szCs w:val="24"/>
        </w:rPr>
      </w:pPr>
      <w:r>
        <w:rPr>
          <w:rFonts w:ascii="Times New Roman" w:hAnsi="Times New Roman"/>
          <w:color w:val="000000"/>
          <w:sz w:val="24"/>
          <w:szCs w:val="24"/>
          <w:lang w:val="en-GB"/>
        </w:rPr>
        <w:t xml:space="preserve">Artificially increased high herbivory pressure (H2) showed some evidence for density dependent feeding (Fig S3). </w:t>
      </w:r>
      <w:r>
        <w:rPr>
          <w:rFonts w:ascii="Times New Roman" w:hAnsi="Times New Roman"/>
          <w:color w:val="000000"/>
          <w:sz w:val="24"/>
          <w:szCs w:val="24"/>
          <w:highlight w:val="yellow"/>
          <w:lang w:val="en-GB"/>
        </w:rPr>
        <w:t xml:space="preserve">[ </w:t>
      </w:r>
      <w:r>
        <w:rPr>
          <w:rFonts w:ascii="Times New Roman" w:hAnsi="Times New Roman"/>
          <w:b w:val="false"/>
          <w:i w:val="false"/>
          <w:color w:val="00000A"/>
          <w:sz w:val="24"/>
          <w:szCs w:val="24"/>
          <w:highlight w:val="yellow"/>
        </w:rPr>
        <w:t xml:space="preserve">it is not shown in Fig S3 </w:t>
      </w:r>
      <w:r>
        <w:rPr>
          <w:rFonts w:ascii="Times New Roman" w:hAnsi="Times New Roman"/>
          <w:color w:val="00000A"/>
          <w:sz w:val="24"/>
          <w:szCs w:val="24"/>
          <w:highlight w:val="yellow"/>
        </w:rPr>
        <w:t xml:space="preserve">which is only for trees. Further, discussing plant species changes in H1 and H2 cannot be done without considering preferences of the beetle for individual plants which can be idiosyncratic – see the table I am sending to you, and we can ask Grace to do extra experiments on plant species that you need. </w:t>
      </w:r>
    </w:p>
    <w:p>
      <w:pPr>
        <w:pStyle w:val="TextBody"/>
        <w:rPr>
          <w:rFonts w:ascii="Times New Roman" w:hAnsi="Times New Roman"/>
          <w:sz w:val="24"/>
          <w:szCs w:val="24"/>
          <w:highlight w:val="yellow"/>
        </w:rPr>
      </w:pPr>
      <w:r>
        <w:rPr>
          <w:rFonts w:ascii="Times New Roman" w:hAnsi="Times New Roman"/>
          <w:sz w:val="24"/>
          <w:szCs w:val="24"/>
          <w:lang w:val="en-GB"/>
        </w:rPr>
        <w:t>Predictably, artificially increased herbivory led to lower biomass, lower stem density and higher herbivory in woody plants, although only for the high level of additional herbivores. Interestingly, this large structural change did not indicated a response in species richness, diversity and evenness.</w:t>
      </w:r>
      <w:r>
        <w:rPr>
          <w:rFonts w:ascii="Times New Roman" w:hAnsi="Times New Roman"/>
          <w:sz w:val="24"/>
          <w:szCs w:val="24"/>
          <w:highlight w:val="yellow"/>
        </w:rPr>
        <w:t xml:space="preserve"> </w:t>
      </w:r>
    </w:p>
    <w:p>
      <w:pPr>
        <w:pStyle w:val="TextBody"/>
        <w:rPr/>
      </w:pPr>
      <w:r>
        <w:rPr>
          <w:rFonts w:ascii="Times New Roman" w:hAnsi="Times New Roman"/>
          <w:sz w:val="24"/>
          <w:szCs w:val="24"/>
          <w:highlight w:val="yellow"/>
        </w:rPr>
        <w:t xml:space="preserve"> </w:t>
      </w:r>
      <w:r>
        <w:rPr>
          <w:rFonts w:ascii="Times New Roman" w:hAnsi="Times New Roman"/>
          <w:b w:val="false"/>
          <w:i w:val="false"/>
          <w:color w:val="00000A"/>
          <w:sz w:val="24"/>
          <w:szCs w:val="24"/>
          <w:highlight w:val="yellow"/>
        </w:rPr>
        <w:t xml:space="preserve">The idea of d-d effect is </w:t>
      </w:r>
      <w:r>
        <w:rPr>
          <w:rFonts w:ascii="Times New Roman" w:hAnsi="Times New Roman"/>
          <w:color w:val="00000A"/>
          <w:sz w:val="24"/>
          <w:szCs w:val="24"/>
          <w:highlight w:val="yellow"/>
        </w:rPr>
        <w:t>interesting and Fig S3 should be discussed but for predator and insecticide treatment; if you want to discuss all plants then you have to show the graphs</w:t>
      </w:r>
      <w:r>
        <w:rPr>
          <w:rFonts w:ascii="Times New Roman" w:hAnsi="Times New Roman"/>
          <w:color w:val="000000"/>
          <w:sz w:val="24"/>
          <w:szCs w:val="24"/>
          <w:highlight w:val="yellow"/>
          <w:lang w:val="en-GB"/>
        </w:rPr>
        <w:t xml:space="preserve">] </w:t>
      </w:r>
      <w:r>
        <w:rPr>
          <w:rFonts w:ascii="Times New Roman" w:hAnsi="Times New Roman"/>
          <w:color w:val="000000"/>
          <w:sz w:val="24"/>
          <w:szCs w:val="24"/>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color w:val="000000"/>
          <w:sz w:val="24"/>
          <w:szCs w:val="24"/>
          <w:highlight w:val="yellow"/>
          <w:lang w:val="en-GB"/>
        </w:rPr>
        <w:t>[i should make one graph with two regression lines]</w:t>
      </w:r>
      <w:r>
        <w:rPr>
          <w:rFonts w:ascii="Times New Roman" w:hAnsi="Times New Roman"/>
          <w:color w:val="000000"/>
          <w:sz w:val="24"/>
          <w:szCs w:val="24"/>
          <w:lang w:val="en-GB"/>
        </w:rPr>
        <w:t xml:space="preserve">). </w:t>
      </w:r>
    </w:p>
    <w:p>
      <w:pPr>
        <w:pStyle w:val="TextBody"/>
        <w:rPr>
          <w:b/>
          <w:b/>
          <w:bCs/>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Even though we found some support for this hypothesis in increased values of LDMC, results for SLA decrease was only marginally significant.</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biomass and abundance. Nevertheless, it is difficult to explain marginally significant decrease in richness and evenness of the whole community on moderate herbivory increase plots.</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w:t>
      </w:r>
      <w:r>
        <w:rPr>
          <w:rFonts w:ascii="Times New Roman" w:hAnsi="Times New Roman"/>
          <w:highlight w:val="yellow"/>
          <w:lang w:val="en-GB"/>
        </w:rPr>
        <w:t>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9" w:name="_GoBack"/>
      <w:bookmarkStart w:id="10" w:name="_GoBack"/>
      <w:bookmarkEnd w:id="10"/>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r>
    </w:p>
    <w:p>
      <w:pPr>
        <w:pStyle w:val="Normal"/>
        <w:spacing w:lineRule="auto" w:line="480"/>
        <w:rPr/>
      </w:pPr>
      <w:r>
        <w:drawing>
          <wp:anchor behindDoc="0" distT="0" distB="0" distL="0" distR="0" simplePos="0" locked="0" layoutInCell="1" allowOverlap="1" relativeHeight="2">
            <wp:simplePos x="0" y="0"/>
            <wp:positionH relativeFrom="column">
              <wp:posOffset>521970</wp:posOffset>
            </wp:positionH>
            <wp:positionV relativeFrom="paragraph">
              <wp:posOffset>1790065</wp:posOffset>
            </wp:positionV>
            <wp:extent cx="5123815" cy="527050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123815" cy="5270500"/>
                    </a:xfrm>
                    <a:prstGeom prst="rect">
                      <a:avLst/>
                    </a:prstGeom>
                  </pic:spPr>
                </pic:pic>
              </a:graphicData>
            </a:graphic>
          </wp:anchor>
        </w:drawing>
      </w:r>
      <w:r>
        <w:rPr>
          <w:rFonts w:ascii="Times New Roman" w:hAnsi="Times New Roman"/>
          <w:color w:val="000000"/>
          <w:lang w:val="en-GB"/>
        </w:rPr>
        <w:t>F</w:t>
      </w:r>
      <w:r>
        <w:rPr>
          <w:rFonts w:ascii="Times New Roman" w:hAnsi="Times New Roman"/>
          <w:color w:val="000000"/>
          <w:lang w:val="en-GB"/>
        </w:rPr>
        <w:t xml:space="preserve">igure 1. </w:t>
      </w:r>
      <w:r>
        <w:rPr>
          <w:rFonts w:ascii="Times New Roman" w:hAnsi="Times New Roman"/>
          <w:lang w:val="en-GB"/>
        </w:rPr>
        <w:t xml:space="preserve">Community descriptors based on all species present in the experimental plot from Wanang. Garden 1 (light grey) was overgrown by the vine </w:t>
      </w:r>
      <w:r>
        <w:rPr>
          <w:rFonts w:ascii="Times New Roman" w:hAnsi="Times New Roman"/>
          <w:i/>
          <w:iCs/>
          <w:lang w:val="en-GB"/>
        </w:rPr>
        <w:t>Calopogonium mucunoides</w:t>
      </w:r>
      <w:r>
        <w:rPr>
          <w:rFonts w:ascii="Times New Roman" w:hAnsi="Times New Roman"/>
          <w:lang w:val="en-GB"/>
        </w:rPr>
        <w:t xml:space="preserve">. Whenever exclusion of this plot changed results qualitatively it was removed form the analysis </w:t>
      </w:r>
      <w:r>
        <w:rPr>
          <w:rFonts w:ascii="Times New Roman" w:hAnsi="Times New Roman"/>
          <w:highlight w:val="yellow"/>
          <w:lang w:val="en-GB"/>
        </w:rPr>
        <w:t xml:space="preserve">[  </w:t>
      </w:r>
      <w:r>
        <w:rPr>
          <w:b w:val="false"/>
          <w:i w:val="false"/>
          <w:color w:val="00000A"/>
          <w:sz w:val="22"/>
          <w:highlight w:val="yellow"/>
        </w:rPr>
        <w:t xml:space="preserve">this ad hoc approach may </w:t>
      </w:r>
      <w:r>
        <w:rPr>
          <w:color w:val="00000A"/>
          <w:highlight w:val="yellow"/>
        </w:rPr>
        <w:t>irritate reviewers; better to decide consistently exclude the plot then maybe mention where it affected the results</w:t>
      </w:r>
      <w:r>
        <w:rPr>
          <w:rFonts w:ascii="Times New Roman" w:hAnsi="Times New Roman"/>
          <w:highlight w:val="yellow"/>
          <w:lang w:val="en-GB"/>
        </w:rPr>
        <w:t xml:space="preserve"> ]</w:t>
      </w:r>
      <w:r>
        <w:rPr>
          <w:rFonts w:ascii="Times New Roman" w:hAnsi="Times New Roman"/>
          <w:lang w:val="en-GB"/>
        </w:rPr>
        <w:t>. Red color indicates significant difference from the control at the alpha = 0.05 level and orange color marginal significance at alpha = 0.1. Significance of the effects and their relative sizes are summarised in table 1.</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lang w:val="en-GB"/>
        </w:rPr>
      </w:pPr>
      <w:r>
        <w:rPr>
          <w:rFonts w:ascii="Times New Roman" w:hAnsi="Times New Roman"/>
          <w:color w:val="000000"/>
          <w:lang w:val="en-GB"/>
        </w:rPr>
        <w:t>Figure 2.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6985" cy="3053715"/>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3816985" cy="3053715"/>
                    </a:xfrm>
                    <a:prstGeom prst="rect">
                      <a:avLst/>
                    </a:prstGeom>
                  </pic:spPr>
                </pic:pic>
              </a:graphicData>
            </a:graphic>
          </wp:anchor>
        </w:drawing>
      </w:r>
      <w:r>
        <w:rPr>
          <w:rFonts w:ascii="Times New Roman" w:hAnsi="Times New Roman"/>
          <w:lang w:val="en-GB"/>
        </w:rPr>
        <w:t>F</w:t>
      </w:r>
      <w:r>
        <w:rPr>
          <w:rFonts w:ascii="Times New Roman" w:hAnsi="Times New Roman"/>
          <w:lang w:val="en-GB"/>
        </w:rPr>
        <w:t xml:space="preserve">igure 3.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p>
      <w:pPr>
        <w:pStyle w:val="Normal"/>
        <w:spacing w:lineRule="auto" w:line="480"/>
        <w:rPr>
          <w:rFonts w:ascii="Times New Roman" w:hAnsi="Times New Roman"/>
          <w:lang w:val="en-GB"/>
        </w:rPr>
      </w:pPr>
      <w:r>
        <w:rPr>
          <w:rFonts w:ascii="Times New Roman" w:hAnsi="Times New Roman"/>
          <w:lang w:val="en-GB"/>
        </w:rPr>
      </w:r>
      <w:r>
        <w:br w:type="page"/>
      </w:r>
    </w:p>
    <w:tbl>
      <w:tblPr>
        <w:tblW w:w="720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365"/>
        <w:gridCol w:w="1234"/>
        <w:gridCol w:w="921"/>
        <w:gridCol w:w="920"/>
        <w:gridCol w:w="922"/>
        <w:gridCol w:w="922"/>
        <w:gridCol w:w="915"/>
      </w:tblGrid>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pageBreakBefore/>
              <w:jc w:val="center"/>
              <w:rPr/>
            </w:pPr>
            <w:r>
              <w:rPr>
                <w:rFonts w:ascii="Times New Roman" w:hAnsi="Times New Roman"/>
                <w:sz w:val="20"/>
                <w:szCs w:val="20"/>
                <w:lang w:val="en-GB"/>
              </w:rPr>
              <w:t>Index</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Average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w:t>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I</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P</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H1</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H2</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LN Bimass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(4.409)</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-0.474</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pPr>
            <w:r>
              <w:rPr>
                <w:rFonts w:ascii="Times New Roman" w:hAnsi="Times New Roman"/>
                <w:b/>
                <w:bCs/>
                <w:sz w:val="20"/>
                <w:szCs w:val="20"/>
                <w:lang w:val="en-GB"/>
              </w:rPr>
              <w:t>-0.956</w:t>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(4.170)</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-1.471</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Diversity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(1.388)</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b/>
                <w:bCs/>
                <w:sz w:val="20"/>
                <w:szCs w:val="20"/>
                <w:lang w:val="en-GB"/>
              </w:rPr>
              <w:t>-0.552</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-0.433</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(0.834)</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w:t>
            </w:r>
            <w:r>
              <w:rPr>
                <w:rFonts w:ascii="Times New Roman" w:hAnsi="Times New Roman"/>
                <w:i/>
                <w:iCs/>
                <w:sz w:val="20"/>
                <w:szCs w:val="20"/>
                <w:lang w:val="en-GB"/>
              </w:rPr>
              <w:t>0.404</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Richness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e^2.806</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-0.293</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e^2.026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w:t>
            </w:r>
            <w:r>
              <w:rPr>
                <w:rFonts w:ascii="Times New Roman" w:hAnsi="Times New Roman"/>
                <w:i/>
                <w:iCs/>
                <w:sz w:val="20"/>
                <w:szCs w:val="20"/>
                <w:lang w:val="en-GB"/>
              </w:rPr>
              <w:t>0.395</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Evenness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(0.5)</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-0.160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w:t>
            </w:r>
            <w:r>
              <w:rPr>
                <w:rFonts w:ascii="Times New Roman" w:hAnsi="Times New Roman"/>
                <w:i/>
                <w:iCs/>
                <w:sz w:val="20"/>
                <w:szCs w:val="20"/>
                <w:lang w:val="en-GB"/>
              </w:rPr>
              <w:t>0.149</w:t>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(0.436)</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i/>
                <w:iCs/>
                <w:sz w:val="20"/>
                <w:szCs w:val="20"/>
                <w:lang w:val="en-GB"/>
              </w:rPr>
              <w:t>0.179</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No. of stems</w:t>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e^3.169</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-0.726</w:t>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-0.431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-1.049</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CWM SLA</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i/>
                <w:iCs/>
                <w:sz w:val="20"/>
                <w:szCs w:val="20"/>
                <w:lang w:val="en-GB"/>
              </w:rPr>
              <w:t>-0.281</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w:t>
            </w:r>
          </w:p>
          <w:p>
            <w:pPr>
              <w:pStyle w:val="Zawartotabeli"/>
              <w:jc w:val="center"/>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i/>
                <w:i/>
                <w:iCs/>
                <w:sz w:val="20"/>
                <w:szCs w:val="20"/>
                <w:lang w:val="en-GB"/>
              </w:rPr>
            </w:pPr>
            <w:r>
              <w:rPr>
                <w:rFonts w:ascii="Times New Roman" w:hAnsi="Times New Roman"/>
                <w:i/>
                <w:iCs/>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CWM LDMC</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b/>
                <w:bCs/>
                <w:sz w:val="20"/>
                <w:szCs w:val="20"/>
                <w:lang w:val="en-GB"/>
              </w:rPr>
              <w:t>0.380</w:t>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w:t>
            </w:r>
          </w:p>
          <w:p>
            <w:pPr>
              <w:pStyle w:val="Zawartotabeli"/>
              <w:jc w:val="center"/>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0.335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Herbivory</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Full (baseline)</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w:t>
            </w:r>
          </w:p>
          <w:p>
            <w:pPr>
              <w:pStyle w:val="Zawartotabeli"/>
              <w:jc w:val="center"/>
              <w:rPr/>
            </w:pPr>
            <w:r>
              <w:rPr>
                <w:rFonts w:ascii="Times New Roman" w:hAnsi="Times New Roman"/>
                <w:sz w:val="20"/>
                <w:szCs w:val="20"/>
                <w:lang w:val="en-GB"/>
              </w:rPr>
              <w:t>(baseline)</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1.670</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1.653</w:t>
            </w:r>
          </w:p>
        </w:tc>
      </w:tr>
      <w:tr>
        <w:trPr/>
        <w:tc>
          <w:tcPr>
            <w:tcW w:w="1365" w:type="dxa"/>
            <w:vMerge w:val="restart"/>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Randomness</w:t>
            </w:r>
          </w:p>
          <w:p>
            <w:pPr>
              <w:pStyle w:val="Zawartotabeli"/>
              <w:jc w:val="center"/>
              <w:rPr/>
            </w:pPr>
            <w:r>
              <w:rPr>
                <w:rFonts w:ascii="Times New Roman" w:hAnsi="Times New Roman"/>
                <w:sz w:val="20"/>
                <w:szCs w:val="20"/>
                <w:lang w:val="en-GB"/>
              </w:rPr>
              <w:t>(RC values)</w:t>
            </w:r>
          </w:p>
        </w:tc>
        <w:tc>
          <w:tcPr>
            <w:tcW w:w="12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pPr>
            <w:r>
              <w:rPr>
                <w:rFonts w:ascii="Times New Roman" w:hAnsi="Times New Roman"/>
                <w:sz w:val="20"/>
                <w:szCs w:val="20"/>
                <w:lang w:val="en-GB"/>
              </w:rPr>
              <w:t xml:space="preserve">Full </w:t>
            </w:r>
          </w:p>
        </w:tc>
        <w:tc>
          <w:tcPr>
            <w:tcW w:w="92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r>
        <w:trPr/>
        <w:tc>
          <w:tcPr>
            <w:tcW w:w="1365" w:type="dxa"/>
            <w:vMerge w:val="continue"/>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Normal"/>
              <w:rPr>
                <w:lang w:val="en-GB"/>
              </w:rPr>
            </w:pPr>
            <w:r>
              <w:rPr>
                <w:lang w:val="en-GB"/>
              </w:rPr>
            </w:r>
          </w:p>
        </w:tc>
        <w:tc>
          <w:tcPr>
            <w:tcW w:w="12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sz w:val="20"/>
                <w:szCs w:val="20"/>
                <w:lang w:val="en-GB"/>
              </w:rPr>
              <w:t>Tree (0.328, 0422)</w:t>
            </w:r>
          </w:p>
        </w:tc>
        <w:tc>
          <w:tcPr>
            <w:tcW w:w="921"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20"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-0.125</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pPr>
            <w:r>
              <w:rPr>
                <w:rFonts w:ascii="Times New Roman" w:hAnsi="Times New Roman"/>
                <w:b/>
                <w:bCs/>
                <w:sz w:val="20"/>
                <w:szCs w:val="20"/>
                <w:lang w:val="en-GB"/>
              </w:rPr>
              <w:t>-0.221</w:t>
            </w:r>
          </w:p>
        </w:tc>
        <w:tc>
          <w:tcPr>
            <w:tcW w:w="922"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c>
          <w:tcPr>
            <w:tcW w:w="9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vAlign w:val="center"/>
          </w:tcPr>
          <w:p>
            <w:pPr>
              <w:pStyle w:val="Zawartotabeli"/>
              <w:jc w:val="center"/>
              <w:rPr>
                <w:rFonts w:ascii="Times New Roman" w:hAnsi="Times New Roman"/>
                <w:sz w:val="20"/>
                <w:szCs w:val="20"/>
                <w:lang w:val="en-GB"/>
              </w:rPr>
            </w:pPr>
            <w:r>
              <w:rPr>
                <w:rFonts w:ascii="Times New Roman" w:hAnsi="Times New Roman"/>
                <w:sz w:val="20"/>
                <w:szCs w:val="20"/>
                <w:lang w:val="en-GB"/>
              </w:rPr>
            </w:r>
          </w:p>
        </w:tc>
      </w:tr>
    </w:tbl>
    <w:p>
      <w:pPr>
        <w:pStyle w:val="Normal"/>
        <w:spacing w:lineRule="auto" w:line="480"/>
        <w:rPr>
          <w:rFonts w:ascii="Times New Roman" w:hAnsi="Times New Roman"/>
          <w:lang w:val="en-GB"/>
        </w:rPr>
      </w:pPr>
      <w:r>
        <w:rPr>
          <w:rFonts w:ascii="Times New Roman" w:hAnsi="Times New Roman"/>
          <w:lang w:val="en-GB"/>
        </w:rPr>
      </w:r>
    </w:p>
    <w:p>
      <w:pPr>
        <w:pStyle w:val="Normal"/>
        <w:spacing w:lineRule="auto" w:line="480"/>
        <w:rPr/>
      </w:pPr>
      <w:r>
        <w:rPr>
          <w:rFonts w:ascii="Times New Roman" w:hAnsi="Times New Roman"/>
          <w:lang w:val="en-GB"/>
        </w:rPr>
        <w:t>Table 1. Effect sizes for the community characteristics under different treatments (F – fungicide, I – insecticide, P – predator exclusion, H1 – low added herbivores, H2 – high added herbivores). Values in bold are significant at alpha = 0.05, values in italics are marginally significant at alpha = 0.1. [</w:t>
      </w:r>
      <w:r>
        <w:rPr>
          <w:rFonts w:ascii="Times New Roman" w:hAnsi="Times New Roman"/>
          <w:highlight w:val="yellow"/>
          <w:lang w:val="en-GB"/>
        </w:rPr>
        <w:t xml:space="preserve">add all baseline average values </w:t>
      </w:r>
      <w:r>
        <w:rPr>
          <w:b w:val="false"/>
          <w:i w:val="false"/>
          <w:color w:val="00000A"/>
          <w:sz w:val="22"/>
          <w:highlight w:val="yellow"/>
        </w:rPr>
        <w:t xml:space="preserve">either explain F, I, ... </w:t>
      </w:r>
      <w:r>
        <w:rPr>
          <w:color w:val="00000A"/>
          <w:highlight w:val="yellow"/>
        </w:rPr>
        <w:t>treatments or refer ti where they are explained</w:t>
      </w:r>
      <w:r>
        <w:rPr>
          <w:rFonts w:ascii="Times New Roman" w:hAnsi="Times New Roman"/>
          <w:highlight w:val="yellow"/>
          <w:lang w:val="en-GB"/>
        </w:rPr>
        <w:t>]</w:t>
      </w:r>
      <w:r>
        <w:rPr>
          <w:rFonts w:ascii="Times New Roman" w:hAnsi="Times New Roman"/>
          <w:lang w:val="en-GB"/>
        </w:rPr>
        <w:t xml:space="preserve"> Explain CWM SLA, CWM LDMC</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22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Czeinternetowe" w:customStyle="1">
    <w:name w:val="Łącze internetowe"/>
    <w:qFormat/>
    <w:rPr>
      <w:color w:val="000080"/>
      <w:u w:val="single"/>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Numeracjawierszy" w:customStyle="1">
    <w:name w:val="Numeracja wierszy"/>
    <w:qFormat/>
    <w:rPr/>
  </w:style>
  <w:style w:type="character" w:styleId="Tekstrdowy" w:customStyle="1">
    <w:name w:val="Tekst źródłowy"/>
    <w:qFormat/>
    <w:rPr>
      <w:rFonts w:ascii="Liberation Mono" w:hAnsi="Liberation Mono" w:eastAsia="NSimSun" w:cs="Liberation Mono"/>
    </w:rPr>
  </w:style>
  <w:style w:type="character" w:styleId="Linenumber">
    <w:name w:val="line number"/>
    <w:basedOn w:val="DefaultParagraphFont"/>
    <w:uiPriority w:val="99"/>
    <w:semiHidden/>
    <w:unhideWhenUsed/>
    <w:qFormat/>
    <w:rsid w:val="002b7a92"/>
    <w:rPr/>
  </w:style>
  <w:style w:type="character" w:styleId="Annotationreference">
    <w:name w:val="annotation reference"/>
    <w:basedOn w:val="DefaultParagraphFont"/>
    <w:uiPriority w:val="99"/>
    <w:semiHidden/>
    <w:unhideWhenUsed/>
    <w:qFormat/>
    <w:rsid w:val="002b7a92"/>
    <w:rPr>
      <w:sz w:val="16"/>
      <w:szCs w:val="16"/>
    </w:rPr>
  </w:style>
  <w:style w:type="character" w:styleId="CommentTextChar" w:customStyle="1">
    <w:name w:val="Comment Text Char"/>
    <w:basedOn w:val="DefaultParagraphFont"/>
    <w:link w:val="CommentText"/>
    <w:uiPriority w:val="99"/>
    <w:semiHidden/>
    <w:qFormat/>
    <w:rsid w:val="002b7a92"/>
    <w:rPr>
      <w:rFonts w:cs="Mangal"/>
      <w:color w:val="00000A"/>
      <w:szCs w:val="18"/>
    </w:rPr>
  </w:style>
  <w:style w:type="character" w:styleId="CommentSubjectChar" w:customStyle="1">
    <w:name w:val="Comment Subject Char"/>
    <w:basedOn w:val="CommentTextChar"/>
    <w:link w:val="CommentSubject"/>
    <w:uiPriority w:val="99"/>
    <w:semiHidden/>
    <w:qFormat/>
    <w:rsid w:val="002b7a92"/>
    <w:rPr>
      <w:rFonts w:cs="Mangal"/>
      <w:b/>
      <w:bCs/>
      <w:color w:val="00000A"/>
      <w:szCs w:val="18"/>
    </w:rPr>
  </w:style>
  <w:style w:type="character" w:styleId="BalloonTextChar" w:customStyle="1">
    <w:name w:val="Balloon Text Char"/>
    <w:basedOn w:val="DefaultParagraphFont"/>
    <w:link w:val="BalloonText"/>
    <w:uiPriority w:val="99"/>
    <w:semiHidden/>
    <w:qFormat/>
    <w:rsid w:val="002b7a92"/>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customStyle="1">
    <w:name w:val="Nagłówek"/>
    <w:basedOn w:val="Normal"/>
    <w:qFormat/>
    <w:pPr>
      <w:keepNext w:val="true"/>
      <w:spacing w:before="240" w:after="120"/>
    </w:pPr>
    <w:rPr>
      <w:rFonts w:ascii="Liberation Sans" w:hAnsi="Liberation Sans" w:eastAsia="Microsoft YaHei"/>
      <w:sz w:val="28"/>
      <w:szCs w:val="28"/>
    </w:rPr>
  </w:style>
  <w:style w:type="paragraph" w:styleId="Indeks" w:customStyle="1">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customStyle="1">
    <w:name w:val="Tekst wstępnie sformatowany"/>
    <w:basedOn w:val="Normal"/>
    <w:qFormat/>
    <w:pPr/>
    <w:rPr/>
  </w:style>
  <w:style w:type="paragraph" w:styleId="Zawartotabeli" w:customStyle="1">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customStyle="1">
    <w:name w:val="Nagłówek listy"/>
    <w:basedOn w:val="Normal"/>
    <w:qFormat/>
    <w:pPr/>
    <w:rPr/>
  </w:style>
  <w:style w:type="paragraph" w:styleId="Zawartolisty" w:customStyle="1">
    <w:name w:val="Zawartość listy"/>
    <w:basedOn w:val="Normal"/>
    <w:qFormat/>
    <w:pPr/>
    <w:rPr/>
  </w:style>
  <w:style w:type="paragraph" w:styleId="Nagwektabeli" w:customStyle="1">
    <w:name w:val="Nagłówek tabeli"/>
    <w:basedOn w:val="Zawartotabeli"/>
    <w:qFormat/>
    <w:pPr/>
    <w:rPr/>
  </w:style>
  <w:style w:type="paragraph" w:styleId="Annotationtext">
    <w:name w:val="annotation text"/>
    <w:basedOn w:val="Normal"/>
    <w:link w:val="CommentTextChar"/>
    <w:uiPriority w:val="99"/>
    <w:semiHidden/>
    <w:unhideWhenUsed/>
    <w:qFormat/>
    <w:rsid w:val="002b7a92"/>
    <w:pPr/>
    <w:rPr>
      <w:rFonts w:cs="Mangal"/>
      <w:sz w:val="20"/>
      <w:szCs w:val="18"/>
    </w:rPr>
  </w:style>
  <w:style w:type="paragraph" w:styleId="Annotationsubject">
    <w:name w:val="annotation subject"/>
    <w:basedOn w:val="Annotationtext"/>
    <w:link w:val="CommentSubjectChar"/>
    <w:uiPriority w:val="99"/>
    <w:semiHidden/>
    <w:unhideWhenUsed/>
    <w:qFormat/>
    <w:rsid w:val="002b7a92"/>
    <w:pPr/>
    <w:rPr>
      <w:b/>
      <w:bCs/>
    </w:rPr>
  </w:style>
  <w:style w:type="paragraph" w:styleId="BalloonText">
    <w:name w:val="Balloon Text"/>
    <w:basedOn w:val="Normal"/>
    <w:link w:val="BalloonTextChar"/>
    <w:uiPriority w:val="99"/>
    <w:semiHidden/>
    <w:unhideWhenUsed/>
    <w:qFormat/>
    <w:rsid w:val="002b7a92"/>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13350</TotalTime>
  <Application>LibreOffice/5.3.6.1$Linux_X86_64 LibreOffice_project/30$Build-1</Application>
  <Pages>25</Pages>
  <Words>6276</Words>
  <Characters>35103</Characters>
  <CharactersWithSpaces>41298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2019-01-15T14:15:24Z</dcterms:modified>
  <cp:revision>1363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