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rFonts w:ascii="Times New Roman" w:hAnsi="Times New Roman"/>
          <w:lang w:val="en-GB"/>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simplifications in community composition. We also test if we would be able to further magnify these impacts of herbivores by increasing abundance of generalist herbivores under no predatory pressure.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To compare different community descriptors of our treatment plots to the control w</w:t>
      </w:r>
      <w:r>
        <w:rPr>
          <w:rFonts w:ascii="Times New Roman" w:hAnsi="Times New Roman"/>
          <w:i w:val="false"/>
          <w:iCs w:val="false"/>
          <w:lang w:val="en-GB"/>
        </w:rPr>
        <w:t xml:space="preserve">e used generalized linear mixed models with blocks (garden) treated as a random factor. We modelled logarithm of the total biomass of the plots and traits using </w:t>
      </w:r>
      <w:r>
        <w:rPr>
          <w:rFonts w:ascii="Times New Roman" w:hAnsi="Times New Roman"/>
          <w:i/>
          <w:iCs/>
          <w:lang w:val="en-GB"/>
        </w:rPr>
        <w:t>lmer</w:t>
      </w:r>
      <w:r>
        <w:rPr>
          <w:rFonts w:ascii="Times New Roman" w:hAnsi="Times New Roman"/>
          <w:i w:val="false"/>
          <w:iCs w:val="false"/>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xml:space="preserve">. Due to over-dispersion we modelled number of stems per plot using the negative binomial distribution,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All the above analysis were performed in R (R Core Team 2018) using lme4 package (Bates et al. 2015). For the above analyses we obtained p-values for our comparisons with control plot we used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46.81516,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Average Bray-Curtis dissimilarity of the above-ground community on control plots was 0.8 with minimum and maximum 0.42</w:t>
      </w:r>
      <w:bookmarkStart w:id="9" w:name="rstudio_console_output3"/>
      <w:bookmarkEnd w:id="9"/>
      <w:r>
        <w:rPr>
          <w:rFonts w:ascii="Times New Roman" w:hAnsi="Times New Roman"/>
          <w:lang w:val="en-GB"/>
        </w:rPr>
        <w:t xml:space="preserve"> and 0.99, respectively and</w:t>
      </w:r>
      <w:bookmarkStart w:id="10" w:name="rstudio_console_output7"/>
      <w:bookmarkEnd w:id="10"/>
      <w:r>
        <w:rPr>
          <w:rFonts w:ascii="Times New Roman" w:hAnsi="Times New Roman"/>
          <w:lang w:val="en-GB"/>
        </w:rPr>
        <w:t xml:space="preserve"> similarly (mean 0.81, minimum 0.39 and maximum 0.99) for woody species communities.</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1" w:name="rstudio_console_output8"/>
      <w:bookmarkEnd w:id="11"/>
      <w:r>
        <w:rPr>
          <w:rFonts w:ascii="Times New Roman" w:hAnsi="Times New Roman"/>
          <w:lang w:val="en-GB"/>
        </w:rPr>
        <w:t>3.576, P = 0.001 respectively), therefore on figure 1 we plotted only values for the whole community. This treatment also significantly reduced the number of stems per plot (t-value = -6.707, P &lt; 0.001). Similarly woody plants density was lower at fungicide (F) treated plots (z-value = -2.507, P = 0.012). Insecticide (I) treated plots had lower number of species per plot (</w:t>
      </w:r>
      <w:bookmarkStart w:id="12" w:name="rstudio_console_output11"/>
      <w:bookmarkEnd w:id="12"/>
      <w:r>
        <w:rPr>
          <w:rFonts w:ascii="Times New Roman" w:hAnsi="Times New Roman"/>
          <w:lang w:val="en-GB"/>
        </w:rPr>
        <w:t>t-value = -2.291, p = 0.031) and lower diversity measured by Shannon’s H’ (T value = -2.543, P = 0.018) in the whole plant community. Moreover, insecticide caused increase in LDMC (t-value = 2.228, p = 0.035) and the decrease in SLA was marginally significant (t-value = -1.991, p = 0.058). Similar pattern for LDMC was observed for woody plant community (</w:t>
      </w:r>
      <w:bookmarkStart w:id="13" w:name="rstudio_console_output14"/>
      <w:bookmarkEnd w:id="13"/>
      <w:r>
        <w:rPr>
          <w:rFonts w:ascii="Times New Roman" w:hAnsi="Times New Roman"/>
          <w:lang w:val="en-GB"/>
        </w:rPr>
        <w:t>t-value = 2.071, p = 0.049). No treatment had significant effect on evenness or richness of experimental communities.</w:t>
      </w:r>
    </w:p>
    <w:p>
      <w:pPr>
        <w:pStyle w:val="TextBody"/>
        <w:rPr/>
      </w:pPr>
      <w:r>
        <w:rPr>
          <w:rFonts w:ascii="Times New Roman" w:hAnsi="Times New Roman"/>
          <w:i w:val="false"/>
          <w:iCs w:val="false"/>
          <w:lang w:val="en-GB"/>
        </w:rPr>
        <w:t>Community composition was highly variable which resulted in R</w:t>
      </w:r>
      <w:r>
        <w:rPr>
          <w:rFonts w:ascii="Times New Roman" w:hAnsi="Times New Roman"/>
          <w:i w:val="false"/>
          <w:iCs w:val="false"/>
          <w:vertAlign w:val="superscript"/>
          <w:lang w:val="en-GB"/>
        </w:rPr>
        <w:t>2</w:t>
      </w:r>
      <w:r>
        <w:rPr>
          <w:rFonts w:ascii="Times New Roman" w:hAnsi="Times New Roman"/>
          <w:i w:val="false"/>
          <w:iCs w:val="false"/>
          <w:lang w:val="en-GB"/>
        </w:rPr>
        <w:t xml:space="preserve"> ~ 15%. Only insecticide treatment (I) altered significantly the species composition of the entire vegetation (permutation test </w:t>
      </w:r>
      <w:r>
        <w:rPr>
          <w:rFonts w:ascii="Times New Roman" w:hAnsi="Times New Roman"/>
          <w:i w:val="false"/>
          <w:iCs w:val="false"/>
          <w:highlight w:val="red"/>
          <w:lang w:val="en-GB"/>
        </w:rPr>
        <w:t>Fig X</w:t>
      </w:r>
      <w:r>
        <w:rPr>
          <w:rFonts w:ascii="Times New Roman" w:hAnsi="Times New Roman"/>
          <w:i w:val="false"/>
          <w:iCs w:val="false"/>
          <w:lang w:val="en-GB"/>
        </w:rPr>
        <w:t xml:space="preserve">, F = </w:t>
      </w:r>
      <w:r>
        <w:rPr/>
        <w:t xml:space="preserve">3.135  p = 0.019) </w:t>
      </w:r>
      <w:r>
        <w:rPr>
          <w:rFonts w:ascii="Times New Roman" w:hAnsi="Times New Roman"/>
          <w:i w:val="false"/>
          <w:iCs w:val="false"/>
          <w:lang w:val="en-GB"/>
        </w:rPr>
        <w:t>resulting in shift in the dominance structure comparing to control (Supplementary Information, Fig. S2 [</w:t>
      </w:r>
      <w:r>
        <w:rPr>
          <w:rFonts w:ascii="Times New Roman" w:hAnsi="Times New Roman"/>
          <w:i w:val="false"/>
          <w:iCs w:val="false"/>
          <w:highlight w:val="red"/>
          <w:lang w:val="en-GB"/>
        </w:rPr>
        <w:t>individual treatment community compositions</w:t>
      </w:r>
      <w:r>
        <w:rPr>
          <w:rFonts w:ascii="Times New Roman" w:hAnsi="Times New Roman"/>
          <w:i w:val="false"/>
          <w:iCs w:val="false"/>
          <w:lang w:val="en-GB"/>
        </w:rPr>
        <w:t>]). The first ordination axis, related to decreasing herbivory gradient, was the main axis of (variation?) shaping community structure of our experimental communities. Similar effects was present in woody plant community (permutation test, F</w:t>
      </w:r>
      <w:bookmarkStart w:id="14" w:name="rstudio_console_output4"/>
      <w:bookmarkEnd w:id="14"/>
      <w:r>
        <w:rPr>
          <w:rFonts w:ascii="Times New Roman" w:hAnsi="Times New Roman"/>
          <w:i w:val="false"/>
          <w:iCs w:val="false"/>
          <w:lang w:val="en-GB"/>
        </w:rPr>
        <w:t xml:space="preserve"> = 2.6154, p = 0.05, not shown in the figure). No significance was found for other treatments and only high increase in herbivory pressure was marginally significant. Shifts in community composition were mainly caused by consistent increase in relative abundance of  </w:t>
      </w:r>
      <w:r>
        <w:rPr>
          <w:rFonts w:ascii="Times New Roman" w:hAnsi="Times New Roman"/>
          <w:i/>
          <w:iCs/>
          <w:lang w:val="en-GB"/>
        </w:rPr>
        <w:t xml:space="preserve">Pipturus argenteus </w:t>
      </w:r>
      <w:r>
        <w:rPr>
          <w:rFonts w:ascii="Times New Roman" w:hAnsi="Times New Roman"/>
          <w:i w:val="false"/>
          <w:iCs w:val="false"/>
          <w:lang w:val="en-GB"/>
        </w:rPr>
        <w:t xml:space="preserve">and decrease of the dominant vein </w:t>
      </w:r>
      <w:r>
        <w:rPr>
          <w:rFonts w:ascii="Times New Roman" w:hAnsi="Times New Roman"/>
          <w:i/>
          <w:iCs/>
          <w:lang w:val="en-GB"/>
        </w:rPr>
        <w:t>Mikania micrantha</w:t>
      </w:r>
      <w:r>
        <w:rPr>
          <w:rFonts w:ascii="Times New Roman" w:hAnsi="Times New Roman"/>
          <w:i w:val="false"/>
          <w:iCs w:val="false"/>
          <w:lang w:val="en-GB"/>
        </w:rPr>
        <w:t xml:space="preserve"> and </w:t>
      </w:r>
      <w:r>
        <w:rPr>
          <w:rFonts w:ascii="Times New Roman" w:hAnsi="Times New Roman"/>
          <w:i/>
          <w:iCs/>
          <w:lang w:val="en-GB"/>
        </w:rPr>
        <w:t>Melanolepis multiglandulosa (Fig 4.)</w:t>
      </w:r>
      <w:r>
        <w:rPr>
          <w:rFonts w:ascii="Times New Roman" w:hAnsi="Times New Roman"/>
          <w:i w:val="false"/>
          <w:iCs w:val="false"/>
          <w:lang w:val="en-GB"/>
        </w:rPr>
        <w:t xml:space="preserve">. For species which were present in both control and treatment plots some clear interaction effects, where different initial abundances result in varying responses to treatments, can be identified. However, it is difficult to test them with a small sample size available. In our experiments </w:t>
      </w:r>
      <w:r>
        <w:rPr>
          <w:rFonts w:ascii="Times New Roman" w:hAnsi="Times New Roman"/>
          <w:i/>
          <w:iCs/>
          <w:lang w:val="en-GB"/>
        </w:rPr>
        <w:t>P. argenteus</w:t>
      </w:r>
      <w:r>
        <w:rPr>
          <w:rFonts w:ascii="Times New Roman" w:hAnsi="Times New Roman"/>
          <w:i w:val="false"/>
          <w:iCs w:val="false"/>
          <w:lang w:val="en-GB"/>
        </w:rPr>
        <w:t xml:space="preserve"> suffered greater herbivory across control plots than </w:t>
      </w:r>
      <w:r>
        <w:rPr>
          <w:rFonts w:ascii="Times New Roman" w:hAnsi="Times New Roman"/>
          <w:i/>
          <w:iCs/>
          <w:lang w:val="en-GB"/>
        </w:rPr>
        <w:t>M. multiglandulosa</w:t>
      </w:r>
      <w:r>
        <w:rPr>
          <w:rFonts w:ascii="Times New Roman" w:hAnsi="Times New Roman"/>
          <w:i w:val="false"/>
          <w:iCs w:val="false"/>
          <w:lang w:val="en-GB"/>
        </w:rPr>
        <w:t xml:space="preserve"> (</w:t>
      </w:r>
      <w:r>
        <w:rPr>
          <w:rFonts w:ascii="Times New Roman" w:hAnsi="Times New Roman"/>
          <w:i w:val="false"/>
          <w:iCs w:val="false"/>
          <w:highlight w:val="yellow"/>
          <w:lang w:val="en-GB"/>
        </w:rPr>
        <w:t>Fig. SX, tukey tests)</w:t>
      </w:r>
      <w:r>
        <w:rPr>
          <w:rFonts w:ascii="Times New Roman" w:hAnsi="Times New Roman"/>
          <w:i w:val="false"/>
          <w:iCs w:val="false"/>
          <w:lang w:val="en-GB"/>
        </w:rPr>
        <w:t xml:space="preserve">. </w:t>
      </w:r>
      <w:r>
        <w:rPr>
          <w:rFonts w:ascii="Times New Roman" w:hAnsi="Times New Roman"/>
          <w:i w:val="false"/>
          <w:iCs w:val="false"/>
          <w:highlight w:val="yellow"/>
          <w:lang w:val="en-GB"/>
        </w:rPr>
        <w:t>Trait turnover? Some patterns in species with specific traits. Bunch of unique species present only in the treatment and not in the control  (table with relative abundances)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5" w:name="rstudio_console_output2"/>
      <w:bookmarkEnd w:id="15"/>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i/>
          <w:i/>
          <w:iCs/>
          <w:u w:val="single"/>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 xml:space="preserve">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w:t>
      </w:r>
      <w:r>
        <w:rPr>
          <w:rFonts w:ascii="Times New Roman" w:hAnsi="Times New Roman"/>
          <w:color w:val="111111"/>
          <w:lang w:val="en-GB"/>
        </w:rPr>
        <w:t>and</w:t>
      </w:r>
      <w:r>
        <w:rPr>
          <w:rFonts w:ascii="Times New Roman" w:hAnsi="Times New Roman"/>
          <w:color w:val="111111"/>
          <w:lang w:val="en-GB"/>
        </w:rPr>
        <w:t xml:space="preserve">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w:t>
      </w:r>
      <w:r>
        <w:rPr>
          <w:rFonts w:ascii="Times New Roman" w:hAnsi="Times New Roman"/>
          <w:lang w:val="en-GB"/>
        </w:rPr>
        <w:t xml:space="preserve">plant </w:t>
      </w:r>
      <w:r>
        <w:rPr>
          <w:rFonts w:ascii="Times New Roman" w:hAnsi="Times New Roman"/>
          <w:lang w:val="en-GB"/>
        </w:rPr>
        <w:t xml:space="preserve">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w:t>
      </w:r>
      <w:r>
        <w:rPr>
          <w:rFonts w:ascii="Times New Roman" w:hAnsi="Times New Roman"/>
          <w:color w:val="111111"/>
          <w:sz w:val="24"/>
          <w:szCs w:val="24"/>
          <w:lang w:val="en-GB"/>
        </w:rPr>
        <w:t>addition</w:t>
      </w:r>
      <w:r>
        <w:rPr>
          <w:rFonts w:ascii="Times New Roman" w:hAnsi="Times New Roman"/>
          <w:color w:val="111111"/>
          <w:sz w:val="24"/>
          <w:szCs w:val="24"/>
          <w:lang w:val="en-GB"/>
        </w:rPr>
        <w:t xml:space="preserve">.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 xml:space="preserve">We show here that this might be the case at least for insect herbivores in the early successional tree communities in the tropics with increase ~5 and ~10 fold having respectively low and high impact on </w:t>
      </w:r>
      <w:r>
        <w:rPr>
          <w:rFonts w:ascii="Times New Roman" w:hAnsi="Times New Roman"/>
          <w:color w:val="111111"/>
          <w:lang w:val="en-GB"/>
        </w:rPr>
        <w:t xml:space="preserve">plants </w:t>
      </w:r>
      <w:r>
        <w:rPr>
          <w:rFonts w:ascii="Times New Roman" w:hAnsi="Times New Roman"/>
          <w:color w:val="111111"/>
          <w:lang w:val="en-GB"/>
        </w:rPr>
        <w:t>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 xml:space="preserve">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w:t>
      </w:r>
      <w:r>
        <w:rPr>
          <w:rFonts w:ascii="Times New Roman" w:hAnsi="Times New Roman"/>
          <w:lang w:val="en-GB"/>
        </w:rPr>
        <w:t>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6" w:name="_GoBack"/>
      <w:bookmarkStart w:id="17" w:name="_GoBack"/>
      <w:bookmarkEnd w:id="17"/>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3.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1089660</wp:posOffset>
            </wp:positionH>
            <wp:positionV relativeFrom="paragraph">
              <wp:posOffset>76200</wp:posOffset>
            </wp:positionV>
            <wp:extent cx="4171315" cy="208597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71315" cy="208597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22"/>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14048</TotalTime>
  <Application>LibreOffice/5.3.6.1$Linux_X86_64 LibreOffice_project/30$Build-1</Application>
  <Pages>23</Pages>
  <Words>5675</Words>
  <Characters>32103</Characters>
  <CharactersWithSpaces>37750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2019-02-02T15:56:02Z</dcterms:modified>
  <cp:revision>1438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