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plant biomass and shifts in community composition. Nonetheless, increasing pressure of generalist herbivores didn’t further amplify that effect and in turn strong herbivory pressure caused significant decrease in plant biomass. Our results showed that fungal pathogens are able to increase abundance of woody plants measured as stem density. Presence of both insects and top predators increased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hebivorous insects control diversity, biomass and community composition. Simplified or disturbed aboveground insect communities and their predators can increase randomness of the community assembly processes, which potentially can slow down regeneration of tropical forests. Effects of pathogenic fungi, causing increase in stem density, may affect later stages of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rich in sunlight often also mineral resources, and competition free space. This environmental filtering favours traits that maximize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rFonts w:ascii="Times New Roman" w:hAnsi="Times New Roman"/>
          <w:lang w:val="en-GB"/>
        </w:rPr>
      </w:pPr>
      <w:r>
        <w:rPr>
          <w:rFonts w:ascii="Times New Roman" w:hAnsi="Times New Roman"/>
          <w:lang w:val="en-GB"/>
        </w:rPr>
        <w:t>Herbivorous insects are more abundant on vegetation in secondary than in primary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predictability of succession hasn’t been evaluated yet for secondary tropical rainforests.</w:t>
      </w:r>
    </w:p>
    <w:p>
      <w:pPr>
        <w:pStyle w:val="TextBody"/>
        <w:rPr/>
      </w:pPr>
      <w:r>
        <w:rPr>
          <w:rFonts w:ascii="Times New Roman" w:hAnsi="Times New Roman"/>
          <w:lang w:val="en-GB"/>
        </w:rPr>
        <w:t xml:space="preserve">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w:t>
      </w:r>
      <w:r>
        <w:rPr>
          <w:rFonts w:ascii="Times New Roman" w:hAnsi="Times New Roman"/>
          <w:highlight w:val="yellow"/>
          <w:lang w:val="en-GB"/>
        </w:rPr>
        <w:t xml:space="preserve">stabilizing effects [alleviating interspecific competition between plant species] </w:t>
      </w:r>
      <w:r>
        <w:rPr>
          <w:rFonts w:ascii="Times New Roman" w:hAnsi="Times New Roman"/>
          <w:lang w:val="en-GB"/>
        </w:rPr>
        <w:t xml:space="preserve">(Chesson 2000). Contrarily predators could, by limiting herbivores abundance, cause simplification of the plant community composition through increased interspecific competition between species. We also test if we would be able to further magnify these impacts of herbivores by increasing abundance of generalist herbivores under no predatory pressure. We hypothesize, that the impact of pathogenic fungi, at least for the initial stages of secondary succession, may be weaker than in primary forest because of the unfavourable micro-climatic conditions, but we consider this treatment as important in the view of their importance in primary forests. </w:t>
      </w:r>
      <w:r>
        <w:rPr>
          <w:rFonts w:ascii="Times New Roman" w:hAnsi="Times New Roman"/>
          <w:highlight w:val="yellow"/>
          <w:lang w:val="en-GB"/>
        </w:rPr>
        <w:t>[some hypotheses about traits ???</w:t>
      </w:r>
      <w:r>
        <w:rPr>
          <w:rFonts w:ascii="Times New Roman" w:hAnsi="Times New Roman"/>
          <w:lang w:val="en-GB"/>
        </w:rPr>
        <w:t>]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After clearence vegetation is burned, gardens planted with mixed crops and after a few harvests, typically after two years, gardens are abandoned and left to spontaneous forest regeneration. This setup creates an excellent opportunity to study secondary succession. Old abandoned gardens have open canopy and mostly undisturbed seed bank, required for a secondary growth to initiate. Lack of tillage, usage of pesticides or fertilizers during cultivation leaves soil properties and microbial biomass unchanged, thus making local conditions practically indistinguishable form soil in naturally created forest gaps (Kukla et al. 2019). Usually structure of those regenerating forests resembles that of the nearby natural forest tree gaps (pers. obs.). </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village center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separated by a minimal distance of 200 m. Within each block we cleared all aboveground vegetation and removed all the rocks and dead wood in order to keep bare soil exposure at minimum 95% for each plot. We also removed all tree stumps and tree roots from top 30 cm of soil to prevent re-sprouting. These initial preparations were shown not to have an effect on the seed bank and soil conditions (Chazdon 2014). Within each block six 5x5 m experimental plots were established, resulting in total 36 experimental plots (six plots within each of the six blocks). Individual plots were separated by a one meter wide strip and three meter cleared margins around the block was established to minimize edge effects. Control plot and five experimental treatments were randomly assigned to plots within each block according to the randomized complete block design. Following treatments were applied continuously for 12 months:</w:t>
      </w:r>
    </w:p>
    <w:p>
      <w:pPr>
        <w:pStyle w:val="TextBody"/>
        <w:rPr/>
      </w:pPr>
      <w:r>
        <w:rPr>
          <w:rFonts w:ascii="Times New Roman" w:hAnsi="Times New Roman"/>
          <w:lang w:val="en-GB"/>
        </w:rPr>
        <w:t>1. Control (C) was sprayed weekly with appropriate amount of water simulating application of pesticides. In order to account for possible effect of fencing used in I, P, H1 and H2 treatments (see below) a 50 cm high dummy plastic fence with a 10-20 cm gap left at the ground level was build to allow for easy access to crawling insects, lizards and rodents.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a contact fungicide mancozeb (12.5 g soluble powder per 5l, commercial name: Mancozeb) was applied on above ground plants according to manufacturer’s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prevented insect colonization.</w:t>
      </w:r>
    </w:p>
    <w:p>
      <w:pPr>
        <w:pStyle w:val="TextBody"/>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above-ground vegetation from all 36 plots was destructively sampled. At each plot all plant species were sorted and identified to species and weighed with 1g accuracy. During sampling all the stems with diameter at the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 filled. Frame was then photographed and processed using ImageJ software (Schneider et al. 2012). Herbivory, defined as a proportion of leaf area loss due to insect feeding, was obtained by comparing leaf blade area measured to the total estimated leaf area. Leaf fram samples were then oven dried, weighted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br/>
        <w:t>Data analysis</w:t>
      </w:r>
    </w:p>
    <w:p>
      <w:pPr>
        <w:pStyle w:val="TextBody"/>
        <w:rPr/>
      </w:pPr>
      <w:r>
        <w:rPr>
          <w:rFonts w:ascii="Times New Roman" w:hAnsi="Times New Roman"/>
          <w:lang w:val="en-GB"/>
        </w:rPr>
        <w:t>To compare different community characteristics form treatment plots to the control w</w:t>
      </w:r>
      <w:r>
        <w:rPr>
          <w:rFonts w:ascii="Times New Roman" w:hAnsi="Times New Roman"/>
          <w:i w:val="false"/>
          <w:iCs w:val="false"/>
          <w:lang w:val="en-GB"/>
        </w:rPr>
        <w:t xml:space="preserve">e used generalized linear mixed models implemented in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with block (garden) treated as a random factor. We modelled diversity, logarithm of the total biomass on the plots and CWM for traits using </w:t>
      </w:r>
      <w:r>
        <w:rPr>
          <w:rFonts w:ascii="Times New Roman" w:hAnsi="Times New Roman"/>
          <w:i/>
          <w:iCs/>
          <w:lang w:val="en-GB"/>
        </w:rPr>
        <w:t>lmer</w:t>
      </w:r>
      <w:r>
        <w:rPr>
          <w:rFonts w:ascii="Times New Roman" w:hAnsi="Times New Roman"/>
          <w:i w:val="false"/>
          <w:iCs w:val="false"/>
          <w:lang w:val="en-GB"/>
        </w:rPr>
        <w:t xml:space="preserve"> function. For the number of species within the plot we used Poisson distribution and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distribution for the stem abundance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w:t>
      </w:r>
      <w:r>
        <w:rPr>
          <w:rFonts w:ascii="Times New Roman" w:hAnsi="Times New Roman"/>
          <w:lang w:val="en-GB"/>
        </w:rPr>
        <w:t xml:space="preserve">LDMC values were logit-transformed, and SLA log transformed prior to the analyses to obtain Gaussian error distributions. </w:t>
      </w:r>
      <w:r>
        <w:rPr>
          <w:rFonts w:ascii="Times New Roman" w:hAnsi="Times New Roman"/>
          <w:i w:val="false"/>
          <w:iCs w:val="false"/>
          <w:lang w:val="en-GB"/>
        </w:rPr>
        <w:t xml:space="preserve">For the above analyses we obtained p-values for our models using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To test for dominance shifts in our communities we selected few species to compare their relative abundance in control plot and treatment plots. </w:t>
      </w:r>
      <w:r>
        <w:rPr>
          <w:rFonts w:ascii="Times New Roman" w:hAnsi="Times New Roman"/>
          <w:highlight w:val="yellow"/>
          <w:lang w:val="en-GB"/>
        </w:rPr>
        <w:t xml:space="preserve">For meaningful comparisons we choose species which were present in at least three blocks for both control and treatment plots, regardless of the block. We compared average proportion for a given comparison using </w:t>
      </w:r>
      <w:r>
        <w:rPr>
          <w:rFonts w:ascii="Times New Roman" w:hAnsi="Times New Roman"/>
          <w:i/>
          <w:iCs/>
          <w:highlight w:val="yellow"/>
          <w:lang w:val="en-GB"/>
        </w:rPr>
        <w:t>betareg</w:t>
      </w:r>
      <w:r>
        <w:rPr>
          <w:rFonts w:ascii="Times New Roman" w:hAnsi="Times New Roman"/>
          <w:highlight w:val="yellow"/>
          <w:lang w:val="en-GB"/>
        </w:rPr>
        <w:t xml:space="preserve"> function and a beta distribution as data varied between 0 and 1. To relate different species responses with their traits we tested for differences between average trait values for species evaluated at the control plots in all six gardens. We runed a linear model with random block effect and compared means using multiple comparisons and Tukey test.</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 </w:t>
      </w:r>
      <w:r>
        <w:rPr>
          <w:rFonts w:ascii="Times New Roman" w:hAnsi="Times New Roman"/>
          <w:i w:val="false"/>
          <w:iCs w:val="false"/>
          <w:color w:val="222222"/>
          <w:lang w:val="en-GB"/>
        </w:rPr>
        <w:t>All analysis were performed in R (R Core Team 2018) using lme4 ,,  … , package .</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the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Bray-Curtis dissimilarity of control plots averaged at 0.8 with minimum and maximum 0.42</w:t>
      </w:r>
      <w:bookmarkStart w:id="9" w:name="rstudio_console_output3"/>
      <w:bookmarkEnd w:id="9"/>
      <w:r>
        <w:rPr>
          <w:rFonts w:ascii="Times New Roman" w:hAnsi="Times New Roman"/>
          <w:lang w:val="en-GB"/>
        </w:rPr>
        <w:t xml:space="preserve"> and 0.99, respectively (similarly for woody species alone: mean 0.81, minimum 0.39 and maximum 0.99).</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0" w:name="rstudio_console_output8"/>
      <w:bookmarkEnd w:id="10"/>
      <w:r>
        <w:rPr>
          <w:rFonts w:ascii="Times New Roman" w:hAnsi="Times New Roman"/>
          <w:lang w:val="en-GB"/>
        </w:rPr>
        <w:t>3.576, P = 0.001 respectively). This treatment also significantly reduced the number of stems per plot (t-value = -6.707, P &lt; 0.001). Woody plants density was also significantly lower at the fungicide (F) treated plots (z-value = -2.507, P = 0.012). Insecticide (I) treated plots had lower diversity measured by Shannon’s H’ (</w:t>
      </w:r>
      <w:bookmarkStart w:id="11" w:name="rstudio_console_output5"/>
      <w:bookmarkEnd w:id="11"/>
      <w:r>
        <w:rPr>
          <w:rFonts w:ascii="Times New Roman" w:hAnsi="Times New Roman"/>
          <w:lang w:val="en-GB"/>
        </w:rPr>
        <w:t>t-value = -2.291   p = 0.031) in the whole plant community. Simpson’s diversity index showed the same pattern. Additionally, insecticide caused increase in LDMC (t-value = 2.228, p = 0.035) and marginally significant (t-value = -1.991, p = 0.058) decrease in SLA. Similar pattern, however only for LDMC, was observed in woody plant communities (</w:t>
      </w:r>
      <w:bookmarkStart w:id="12" w:name="rstudio_console_output14"/>
      <w:bookmarkEnd w:id="12"/>
      <w:r>
        <w:rPr>
          <w:rFonts w:ascii="Times New Roman" w:hAnsi="Times New Roman"/>
          <w:lang w:val="en-GB"/>
        </w:rPr>
        <w:t>t-value = 2.071, p = 0.049). No treatment had significant effect on evenness or species richness of experimental communities.</w:t>
      </w:r>
    </w:p>
    <w:p>
      <w:pPr>
        <w:pStyle w:val="TextBody"/>
        <w:rPr/>
      </w:pPr>
      <w:r>
        <w:rPr>
          <w:rFonts w:ascii="Times New Roman" w:hAnsi="Times New Roman"/>
          <w:i w:val="false"/>
          <w:iCs w:val="false"/>
          <w:lang w:val="en-GB"/>
        </w:rPr>
        <w:t xml:space="preserve">Only insecticide treatment (I) altered species composition significantly (permutation test Fig 3, F = </w:t>
      </w:r>
      <w:r>
        <w:rPr/>
        <w:t xml:space="preserve">3.135  p = 0.019) </w:t>
      </w:r>
      <w:r>
        <w:rPr>
          <w:rFonts w:ascii="Times New Roman" w:hAnsi="Times New Roman"/>
          <w:i w:val="false"/>
          <w:iCs w:val="false"/>
          <w:lang w:val="en-GB"/>
        </w:rPr>
        <w:t>resulting in shifts in the dominance structure in comparison with control (Supplementary Information, Fig. S2). The first ordination axis was related to decreasing herbivory gradient and by itself explained 19.55 % of variation in community composition. Similar effects were present when we considered only woody plant communities (permutation test, F</w:t>
      </w:r>
      <w:bookmarkStart w:id="13" w:name="rstudio_console_output4"/>
      <w:bookmarkEnd w:id="13"/>
      <w:r>
        <w:rPr>
          <w:rFonts w:ascii="Times New Roman" w:hAnsi="Times New Roman"/>
          <w:i w:val="false"/>
          <w:iCs w:val="false"/>
          <w:lang w:val="en-GB"/>
        </w:rPr>
        <w:t xml:space="preserve"> = 2.6154, p = 0.05, not shown in the figure). Except for the marginally significance of high herbivory plots community composition in other treatments were not affected. Shifts in the dominance structure in insecticide treated plots were mainly caused by a consistent increase in relative abundance of one of the dominants: </w:t>
      </w:r>
      <w:r>
        <w:rPr>
          <w:rFonts w:ascii="Times New Roman" w:hAnsi="Times New Roman"/>
          <w:i/>
          <w:iCs/>
          <w:lang w:val="en-GB"/>
        </w:rPr>
        <w:t>Pipturus argenteus (</w:t>
      </w:r>
      <w:r>
        <w:rPr>
          <w:rFonts w:ascii="Times New Roman" w:hAnsi="Times New Roman"/>
          <w:i/>
          <w:iCs/>
          <w:highlight w:val="yellow"/>
          <w:lang w:val="en-GB"/>
        </w:rPr>
        <w:t>paired t- test/Wilcoxon test?)</w:t>
      </w:r>
      <w:r>
        <w:rPr>
          <w:rFonts w:ascii="Times New Roman" w:hAnsi="Times New Roman"/>
          <w:i/>
          <w:iCs/>
          <w:lang w:val="en-GB"/>
        </w:rPr>
        <w:t xml:space="preserve">. </w:t>
      </w:r>
      <w:r>
        <w:rPr>
          <w:rFonts w:ascii="Times New Roman" w:hAnsi="Times New Roman"/>
          <w:i w:val="false"/>
          <w:iCs w:val="false"/>
          <w:lang w:val="en-GB"/>
        </w:rPr>
        <w:t xml:space="preserve">This pattern was coupled with decrease of the dominant vein </w:t>
      </w:r>
      <w:r>
        <w:rPr>
          <w:rFonts w:ascii="Times New Roman" w:hAnsi="Times New Roman"/>
          <w:i/>
          <w:iCs/>
          <w:lang w:val="en-GB"/>
        </w:rPr>
        <w:t>Mikania micrantha</w:t>
      </w:r>
      <w:r>
        <w:rPr>
          <w:rFonts w:ascii="Times New Roman" w:hAnsi="Times New Roman"/>
          <w:i w:val="false"/>
          <w:iCs w:val="false"/>
          <w:lang w:val="en-GB"/>
        </w:rPr>
        <w:t xml:space="preserve"> together with </w:t>
      </w:r>
      <w:r>
        <w:rPr>
          <w:rFonts w:ascii="Times New Roman" w:hAnsi="Times New Roman"/>
          <w:i/>
          <w:iCs/>
          <w:lang w:val="en-GB"/>
        </w:rPr>
        <w:t>Melanolepis multiglandulosa (Fig 4.)</w:t>
      </w:r>
      <w:r>
        <w:rPr>
          <w:rFonts w:ascii="Times New Roman" w:hAnsi="Times New Roman"/>
          <w:i w:val="false"/>
          <w:iCs w:val="false"/>
          <w:lang w:val="en-GB"/>
        </w:rPr>
        <w:t xml:space="preserve">. Only few species were present in both control and one of the treatment plot allowing for meaningful comparisons of their relative abundance changes (Fig. 4). In some cases clear interaction effects, where different initial abundances resulted in varying responses to treatments, can be observed. However, it is difficult to test these effects with a small sample available. In our experiments there was change in dominance was related with plant traits. </w:t>
      </w:r>
      <w:r>
        <w:rPr>
          <w:rFonts w:ascii="Times New Roman" w:hAnsi="Times New Roman"/>
          <w:i/>
          <w:iCs/>
          <w:lang w:val="en-GB"/>
        </w:rPr>
        <w:t>P. argenteus</w:t>
      </w:r>
      <w:r>
        <w:rPr>
          <w:rFonts w:ascii="Times New Roman" w:hAnsi="Times New Roman"/>
          <w:i w:val="false"/>
          <w:iCs w:val="false"/>
          <w:lang w:val="en-GB"/>
        </w:rPr>
        <w:t xml:space="preserve"> suffered greater leaf area loss due to herbivory. However, for these two species there were signifcant differences in LDMC values (</w:t>
      </w:r>
      <w:r>
        <w:rPr>
          <w:rFonts w:ascii="Times New Roman" w:hAnsi="Times New Roman"/>
          <w:i w:val="false"/>
          <w:iCs w:val="false"/>
          <w:highlight w:val="yellow"/>
          <w:lang w:val="en-GB"/>
        </w:rPr>
        <w:t>Fig. SX</w:t>
      </w:r>
      <w:r>
        <w:rPr>
          <w:rFonts w:ascii="Times New Roman" w:hAnsi="Times New Roman"/>
          <w:i w:val="false"/>
          <w:iCs w:val="false"/>
          <w:lang w:val="en-GB"/>
        </w:rPr>
        <w:t>). However, they didn’t differ in their SLA values. These results were supported also as general patterns when surfaces were fitting to ordination plots (FigSx) where gradient of LDMC changed with first ordination axis.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4" w:name="rstudio_console_output2"/>
      <w:bookmarkEnd w:id="14"/>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val="false"/>
          <w:iCs w:val="false"/>
          <w:color w:val="000000"/>
          <w:sz w:val="24"/>
          <w:szCs w:val="24"/>
          <w:highlight w:val="yellow"/>
          <w:u w:val="single"/>
          <w:lang w:val="en-GB"/>
        </w:rPr>
        <w:t>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w:t>
      </w:r>
      <w:r>
        <w:rPr>
          <w:rFonts w:ascii="Times New Roman" w:hAnsi="Times New Roman"/>
          <w:i/>
          <w:iCs/>
          <w:color w:val="000000"/>
          <w:sz w:val="24"/>
          <w:szCs w:val="24"/>
          <w:highlight w:val="yellow"/>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5" w:name="_GoBack"/>
      <w:bookmarkStart w:id="16" w:name="_GoBack"/>
      <w:bookmarkEnd w:id="16"/>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w:t>
      </w:r>
      <w:r>
        <w:rPr>
          <w:rFonts w:ascii="Times New Roman" w:hAnsi="Times New Roman"/>
          <w:color w:val="000000"/>
          <w:lang w:val="en-GB"/>
        </w:rPr>
        <w:t>Only significant factor is plotted</w:t>
      </w:r>
      <w:r>
        <w:rPr>
          <w:rFonts w:ascii="Times New Roman" w:hAnsi="Times New Roman"/>
          <w:color w:val="000000"/>
          <w:lang w:val="en-GB"/>
        </w:rPr>
        <w:t xml:space="preserve">. </w:t>
      </w:r>
      <w:r>
        <w:rPr>
          <w:rFonts w:ascii="Times New Roman" w:hAnsi="Times New Roman"/>
          <w:color w:val="000000"/>
          <w:lang w:val="en-GB"/>
        </w:rPr>
        <w:t xml:space="preserve">Each axis is described by </w:t>
      </w:r>
      <w:r>
        <w:rPr>
          <w:rFonts w:ascii="Times New Roman" w:hAnsi="Times New Roman"/>
          <w:color w:val="000000"/>
          <w:lang w:val="en-GB"/>
        </w:rPr>
        <w:t xml:space="preserve">their percentage of explained variance. Species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color w:val="000000"/>
          <w:lang w:val="en-GB"/>
        </w:rPr>
      </w:pPr>
      <w:r>
        <w:rPr/>
      </w:r>
    </w:p>
    <w:p>
      <w:pPr>
        <w:pStyle w:val="Normal"/>
        <w:spacing w:lineRule="auto" w:line="480"/>
        <w:rPr>
          <w:rFonts w:ascii="Times New Roman" w:hAnsi="Times New Roman"/>
          <w:color w:val="000000"/>
          <w:lang w:val="en-GB"/>
        </w:rPr>
      </w:pPr>
      <w:r>
        <w:rPr/>
      </w:r>
    </w:p>
    <w:p>
      <w:pPr>
        <w:pStyle w:val="Normal"/>
        <w:spacing w:lineRule="auto" w:line="480"/>
        <w:rPr>
          <w:rFonts w:ascii="Times New Roman" w:hAnsi="Times New Roman"/>
          <w:color w:val="000000"/>
          <w:lang w:val="en-GB"/>
        </w:rPr>
      </w:pPr>
      <w:r>
        <w:rPr/>
      </w:r>
    </w:p>
    <w:p>
      <w:pPr>
        <w:pStyle w:val="Normal"/>
        <w:spacing w:lineRule="auto" w:line="480"/>
        <w:rPr>
          <w:rFonts w:ascii="Times New Roman" w:hAnsi="Times New Roman"/>
          <w:color w:val="000000"/>
          <w:lang w:val="en-GB"/>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322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32220"/>
                    </a:xfrm>
                    <a:prstGeom prst="rect">
                      <a:avLst/>
                    </a:prstGeom>
                  </pic:spPr>
                </pic:pic>
              </a:graphicData>
            </a:graphic>
          </wp:anchor>
        </w:drawing>
      </w:r>
    </w:p>
    <w:sectPr>
      <w:footerReference w:type="default" r:id="rId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8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14448</TotalTime>
  <Application>LibreOffice/5.3.6.1$Linux_X86_64 LibreOffice_project/30$Build-1</Application>
  <Pages>24</Pages>
  <Words>5829</Words>
  <Characters>33055</Characters>
  <CharactersWithSpaces>38856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2019-02-08T11:21:36Z</dcterms:modified>
  <cp:revision>1513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