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on secondary succession of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2. Here we are testing, for the first time, the effects of food web interactions on the early successional dynamics in a lowland tropical forest in Papua New Guinea. On 36 vegetation plots (5 x 5m) we initiated secondary succession and experimentally manipulated insect herbivores, fungal pathogens and predators using broad spectrum insecticides, fungicides, predator exclosures and herbivore introductions, all over the course of one year.</w:t>
      </w:r>
    </w:p>
    <w:p>
      <w:pPr>
        <w:pStyle w:val="TextBody"/>
        <w:rPr/>
      </w:pPr>
      <w:r>
        <w:rPr>
          <w:rFonts w:ascii="Times New Roman" w:hAnsi="Times New Roman"/>
          <w:lang w:val="en-GB"/>
        </w:rPr>
        <w:t xml:space="preserve">3. Insects were responsible for increased diversity and total plant biomass and shifts in community composition. Nonetheless, increasing pressure of generalist herbivores didn’t further amplify that effect and, in turn, strong herbivory pressure caused significant decrease in plant biomass. Our results showed that fungal pathogens are able to increase abundance of woody plants, measured as stem density. </w:t>
      </w:r>
      <w:r>
        <w:rPr>
          <w:rFonts w:ascii="Times New Roman" w:hAnsi="Times New Roman"/>
          <w:lang w:val="en-GB"/>
        </w:rPr>
        <w:t>Using null model approach, we showed that the p</w:t>
      </w:r>
      <w:r>
        <w:rPr>
          <w:rFonts w:ascii="Times New Roman" w:hAnsi="Times New Roman"/>
          <w:lang w:val="en-GB"/>
        </w:rPr>
        <w:t>resence of insects and t</w:t>
      </w:r>
      <w:r>
        <w:rPr>
          <w:rFonts w:ascii="Times New Roman" w:hAnsi="Times New Roman"/>
          <w:lang w:val="en-GB"/>
        </w:rPr>
        <w:t>heir</w:t>
      </w:r>
      <w:r>
        <w:rPr>
          <w:rFonts w:ascii="Times New Roman" w:hAnsi="Times New Roman"/>
          <w:lang w:val="en-GB"/>
        </w:rPr>
        <w:t xml:space="preserve"> predators </w:t>
      </w:r>
      <w:r>
        <w:rPr>
          <w:rFonts w:ascii="Times New Roman" w:hAnsi="Times New Roman"/>
          <w:lang w:val="en-GB"/>
        </w:rPr>
        <w:t>can i</w:t>
      </w:r>
      <w:r>
        <w:rPr>
          <w:rFonts w:ascii="Times New Roman" w:hAnsi="Times New Roman"/>
          <w:lang w:val="en-GB"/>
        </w:rPr>
        <w:t xml:space="preserve">ncrease predictability of community assembly processes. </w:t>
      </w:r>
      <w:r>
        <w:rPr>
          <w:rFonts w:ascii="Times New Roman" w:hAnsi="Times New Roman"/>
          <w:lang w:val="en-GB"/>
        </w:rPr>
        <w:t>Species most</w:t>
      </w:r>
      <w:r>
        <w:rPr>
          <w:rFonts w:ascii="Times New Roman" w:hAnsi="Times New Roman"/>
          <w:lang w:val="en-GB"/>
        </w:rPr>
        <w:t xml:space="preserve"> prevalent </w:t>
      </w:r>
      <w:r>
        <w:rPr>
          <w:rFonts w:ascii="Times New Roman" w:hAnsi="Times New Roman"/>
          <w:lang w:val="en-GB"/>
        </w:rPr>
        <w:t>in experimental blocks</w:t>
      </w:r>
      <w:r>
        <w:rPr>
          <w:rFonts w:ascii="Times New Roman" w:hAnsi="Times New Roman"/>
          <w:lang w:val="en-GB"/>
        </w:rPr>
        <w:t xml:space="preserve"> </w:t>
      </w:r>
      <w:r>
        <w:rPr>
          <w:rFonts w:ascii="Times New Roman" w:hAnsi="Times New Roman"/>
          <w:lang w:val="en-GB"/>
        </w:rPr>
        <w:t>showed</w:t>
      </w:r>
      <w:r>
        <w:rPr>
          <w:rFonts w:ascii="Times New Roman" w:hAnsi="Times New Roman"/>
          <w:lang w:val="en-GB"/>
        </w:rPr>
        <w:t xml:space="preserve"> </w:t>
      </w:r>
      <w:r>
        <w:rPr>
          <w:rFonts w:ascii="Times New Roman" w:hAnsi="Times New Roman"/>
          <w:lang w:val="en-GB"/>
        </w:rPr>
        <w:t>consistent</w:t>
      </w:r>
      <w:r>
        <w:rPr>
          <w:rFonts w:ascii="Times New Roman" w:hAnsi="Times New Roman"/>
          <w:lang w:val="en-GB"/>
        </w:rPr>
        <w:t xml:space="preserve"> responses</w:t>
      </w:r>
      <w:r>
        <w:rPr>
          <w:rFonts w:ascii="Times New Roman" w:hAnsi="Times New Roman"/>
          <w:lang w:val="en-GB"/>
        </w:rPr>
        <w:t xml:space="preserve"> </w:t>
      </w:r>
      <w:r>
        <w:rPr>
          <w:rFonts w:ascii="Times New Roman" w:hAnsi="Times New Roman"/>
          <w:lang w:val="en-GB"/>
        </w:rPr>
        <w:t xml:space="preserve">to herbivory pressure, and were </w:t>
      </w:r>
      <w:r>
        <w:rPr>
          <w:rFonts w:ascii="Times New Roman" w:hAnsi="Times New Roman"/>
          <w:lang w:val="en-GB"/>
        </w:rPr>
        <w:t>related to</w:t>
      </w:r>
      <w:r>
        <w:rPr>
          <w:rFonts w:ascii="Times New Roman" w:hAnsi="Times New Roman"/>
          <w:lang w:val="en-GB"/>
        </w:rPr>
        <w:t xml:space="preserve"> </w:t>
      </w:r>
      <w:r>
        <w:rPr>
          <w:rFonts w:ascii="Times New Roman" w:hAnsi="Times New Roman"/>
          <w:lang w:val="en-GB"/>
        </w:rPr>
        <w:t xml:space="preserve">their </w:t>
      </w:r>
      <w:r>
        <w:rPr>
          <w:rFonts w:ascii="Times New Roman" w:hAnsi="Times New Roman"/>
          <w:lang w:val="en-GB"/>
        </w:rPr>
        <w:t xml:space="preserve">functional </w:t>
      </w:r>
      <w:r>
        <w:rPr>
          <w:rFonts w:ascii="Times New Roman" w:hAnsi="Times New Roman"/>
          <w:lang w:val="en-GB"/>
        </w:rPr>
        <w:t>trait</w:t>
      </w:r>
      <w:r>
        <w:rPr>
          <w:rFonts w:ascii="Times New Roman" w:hAnsi="Times New Roman"/>
          <w:lang w:val="en-GB"/>
        </w:rPr>
        <w:t>s</w:t>
      </w:r>
      <w:r>
        <w:rPr>
          <w:rFonts w:ascii="Times New Roman" w:hAnsi="Times New Roman"/>
          <w:lang w:val="en-GB"/>
        </w:rPr>
        <w:t>.</w:t>
      </w:r>
    </w:p>
    <w:p>
      <w:pPr>
        <w:pStyle w:val="TextBody"/>
        <w:rPr/>
      </w:pPr>
      <w:r>
        <w:rPr>
          <w:rFonts w:ascii="Times New Roman" w:hAnsi="Times New Roman"/>
          <w:i/>
          <w:iCs/>
          <w:lang w:val="en-GB"/>
        </w:rPr>
        <w:t>4. Synthesis</w:t>
      </w:r>
      <w:r>
        <w:rPr>
          <w:rFonts w:ascii="Times New Roman" w:hAnsi="Times New Roman"/>
          <w:lang w:val="en-GB"/>
        </w:rPr>
        <w:t>. In early successional communities, herbivorous insects controlled diversity, biomass and community composition. Simplified or disturbed aboveground insect communities and their predators can increase the randomness of community assembly processes, which potentially can slow down regeneration of tropical forests. Effects of pathogenic fungi, causing increase in stem density, may affect later stages of succession.</w:t>
      </w:r>
      <w:r>
        <w:br w:type="page"/>
      </w:r>
    </w:p>
    <w:p>
      <w:pPr>
        <w:pStyle w:val="TextBody"/>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its trajectory (to some extent), both in terms of species composition and species traits of secondary and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competition free space. This environmental filtering favours traits that maximize dispersal and growth rate at the expense of anti-herbivore defences (Coley et al. 1985, Denslow 1987, Herms &amp; Mattson 1992). Therefore, the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pPr>
      <w:r>
        <w:rPr>
          <w:rFonts w:ascii="Times New Roman" w:hAnsi="Times New Roman"/>
          <w:lang w:val="en-GB"/>
        </w:rPr>
        <w:t>Herbivorous insects are more abundant on vegetation in secondary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(Trumble et al. 1993, Strauss and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Low variability in environmental conditions often leads to alternative, divergent successional pathways (Mesquita et al. 2001, Suding et al. 2004, Williamson et al. 2012). This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the predictability of succession has yet to be evaluated in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herbivores abundance, cause simplification of the plant community composition through increased inter-specific competition. We also test if intensification of herbivory pressure without predators would further increase plant community richness and diversity. We hypothesize that the impact of pathogenic fungi, at least for the initial stages of secondary succession, may be weaker than in primary forest because of the relatively unfavourable micro-climatic conditions. Finally, we hypothesize that the biotic factors, by responding to the initial plant composition and mostly determined by dispersal, can shift succession trajectories in a predictable manner by increasing determinism in community assembly processes.</w:t>
      </w:r>
    </w:p>
    <w:p>
      <w:pPr>
        <w:pStyle w:val="TextBody"/>
        <w:rPr/>
      </w:pPr>
      <w:bookmarkStart w:id="1" w:name="materials-and-methods"/>
      <w:bookmarkEnd w:id="1"/>
      <w:r>
        <w:rPr>
          <w:rFonts w:ascii="Times New Roman" w:hAnsi="Times New Roman"/>
          <w:b/>
          <w:bCs/>
          <w:lang w:val="en-GB"/>
        </w:rPr>
        <w:t>Materials and methods</w:t>
      </w:r>
    </w:p>
    <w:p>
      <w:pPr>
        <w:pStyle w:val="TextBody"/>
        <w:rPr/>
      </w:pPr>
      <w:bookmarkStart w:id="2" w:name="study-sites"/>
      <w:bookmarkEnd w:id="2"/>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around 3500 mm and the mean monthly temperature is 26°C (McAlpine et al. 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Old abandoned gardens have an open canopy and a mostly undisturbed seed bank, which is required for initiation of secondary growth. Lack of tillage and the lack of pesticide or fertilizer use during cultivation leaves soil properties and microbial biomass unchanged, thus making local conditions practically indistinguishable from soil in naturally created forest gaps (Kukla et al. 2019). Usually the structure of regenerating forests resembles that of the nearby natural forest tree gaps (pers. obs.). </w:t>
      </w:r>
    </w:p>
    <w:p>
      <w:pPr>
        <w:pStyle w:val="TextBody"/>
        <w:rPr/>
      </w:pPr>
      <w:bookmarkStart w:id="3" w:name="experimental-design"/>
      <w:bookmarkEnd w:id="3"/>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centre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separated by a minimal distance of 200 m. Within each block we cleared all aboveground vegetation and removed all the rocks and dead wood in order to keep bare soil exposure at a minimum of 95% for each plot. We also removed all tree stumps and tree roots from the top 30 cm of soil to prevent re-sprouting. These initial preparations were shown not to have an effect on the seed bank and soil conditions (Chazdon 2014). Within each block six 5x5 m experimental plots were established, resulting in 36 experimental plots total (six plots within each of the six blocks). Individual plots were separated by a 1 meter wide strip. We also cleared 3 meter margins around each block to minimize edge effects. A control plot and five experimental treatments were randomly assigned within each block according to a randomized design. The following treatments were applied continuously for 12 months:</w:t>
      </w:r>
    </w:p>
    <w:p>
      <w:pPr>
        <w:pStyle w:val="TextBody"/>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pPr>
      <w:r>
        <w:rPr>
          <w:rFonts w:ascii="Times New Roman" w:hAnsi="Times New Roman"/>
          <w:lang w:val="en-GB"/>
        </w:rPr>
        <w:t xml:space="preserve">2. Exclusion of pathogenic 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4" w:name="sampling"/>
      <w:bookmarkEnd w:id="4"/>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were filled. The frame was then photographed and processed using ImageJ software (Schneider et al. 2012). Herbivory, defined as a proportion of leaf area loss due to insect feeding, was obtained by comparing leaf blade area measured to the total estimated leaf area. Leaf frame samples were then oven dried and weighed,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br/>
        <w:t>Data analysis</w:t>
      </w:r>
    </w:p>
    <w:p>
      <w:pPr>
        <w:pStyle w:val="TextBody"/>
        <w:rPr/>
      </w:pPr>
      <w:r>
        <w:rPr>
          <w:rFonts w:ascii="Times New Roman" w:hAnsi="Times New Roman"/>
          <w:i w:val="false"/>
          <w:iCs w:val="false"/>
          <w:color w:val="222222"/>
          <w:lang w:val="en-GB"/>
        </w:rPr>
        <w:t xml:space="preserve">All analyses were performed in R (R Core Team 2018). </w:t>
      </w:r>
      <w:r>
        <w:rPr>
          <w:rFonts w:ascii="Times New Roman" w:hAnsi="Times New Roman"/>
          <w:lang w:val="en-GB"/>
        </w:rPr>
        <w:t>To evaluate the effects of treatments on various community characteristics, w</w:t>
      </w:r>
      <w:r>
        <w:rPr>
          <w:rFonts w:ascii="Times New Roman" w:hAnsi="Times New Roman"/>
          <w:i w:val="false"/>
          <w:iCs w:val="false"/>
          <w:lang w:val="en-GB"/>
        </w:rPr>
        <w:t xml:space="preserve">e developed linear and generalized linear mixed-models using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where we considered block (garden) as a random factor. We modelled diversity and logarithm of the cumulative biomass on the plot and CWM for traits using </w:t>
      </w:r>
      <w:r>
        <w:rPr>
          <w:rFonts w:ascii="Times New Roman" w:hAnsi="Times New Roman"/>
          <w:i/>
          <w:iCs/>
          <w:lang w:val="en-GB"/>
        </w:rPr>
        <w:t>lmer</w:t>
      </w:r>
      <w:r>
        <w:rPr>
          <w:rFonts w:ascii="Times New Roman" w:hAnsi="Times New Roman"/>
          <w:i w:val="false"/>
          <w:iCs w:val="false"/>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i w:val="false"/>
          <w:iCs w:val="false"/>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rFonts w:ascii="Times New Roman" w:hAnsi="Times New Roman"/>
          <w:highlight w:val="yellow"/>
          <w:lang w:val="en-GB"/>
        </w:rPr>
      </w:pPr>
      <w:r>
        <w:rPr>
          <w:rFonts w:ascii="Times New Roman" w:hAnsi="Times New Roman"/>
          <w:lang w:val="en-GB"/>
        </w:rPr>
        <w:t xml:space="preserve">To test for changes in community composition, 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(Oksanen et al. 2016). Significance of observed differences were assessed by permutation tests (999 randomizations), while preserving the random structure of blocks determined by the experimental design. Because of the differences in local plant community biomass within each plot, individual plant biomass was standardized by total biomass of the community. To test for dominance shifts in our communities we selected a few species to compare their relative abundance in control plots and treatment plots.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a null model approach proposed by Chase et al. (2011). </w:t>
      </w:r>
      <w:r>
        <w:rPr>
          <w:rFonts w:ascii="Times New Roman" w:hAnsi="Times New Roman"/>
          <w:color w:val="222222"/>
          <w:lang w:val="en-GB"/>
        </w:rPr>
        <w:t>Instead of using presence-absence data, we</w:t>
      </w:r>
      <w:r>
        <w:rPr>
          <w:rFonts w:ascii="Times New Roman" w:hAnsi="Times New Roman"/>
          <w:lang w:val="en-GB"/>
        </w:rPr>
        <w:t xml:space="preserve"> adapted the procedure </w:t>
      </w:r>
      <w:r>
        <w:rPr>
          <w:rFonts w:ascii="Times New Roman" w:hAnsi="Times New Roman"/>
          <w:highlight w:val="yellow"/>
          <w:lang w:val="en-GB"/>
        </w:rPr>
        <w:t>include Chase</w:t>
      </w:r>
      <w:r>
        <w:rPr>
          <w:rFonts w:ascii="Times New Roman" w:hAnsi="Times New Roman"/>
          <w:lang w:val="en-GB"/>
        </w:rPr>
        <w:t xml:space="preserve"> used by Stegen et al. (2013) and later by Alberti et al. (2017) based on species’ biomass. We performed separate randomizations for each of the five control and treatment combinations (i.e. C vs. F, C vs. I, C vs. P, C vs. H1, C vs. H2), each comprising 12 plots (six control plots and six treatment plots). This way we ensured that the experimental treatment plots (30 plots vs. 6 control plots) were not over-represented in the procedure. We set several constraints to the random community assembly process for a single plot.</w:t>
      </w:r>
      <w:r>
        <w:rPr>
          <w:rFonts w:ascii="Times New Roman" w:hAnsi="Times New Roman"/>
          <w:b w:val="false"/>
          <w:bCs w:val="false"/>
          <w:lang w:val="en-GB"/>
        </w:rPr>
        <w:t xml:space="preserve">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b w:val="false"/>
          <w:bCs w:val="false"/>
          <w:color w:val="222222"/>
          <w:lang w:val="en-GB"/>
        </w:rPr>
        <w:t xml:space="preserve">999 times. During each iteration we quantified compositional turnover using Bray-Curtis (BC) dissimilarity, calculated with the </w:t>
      </w:r>
      <w:r>
        <w:rPr>
          <w:rFonts w:ascii="Times New Roman" w:hAnsi="Times New Roman"/>
          <w:b w:val="false"/>
          <w:bCs w:val="false"/>
          <w:i/>
          <w:iCs/>
          <w:color w:val="222222"/>
          <w:lang w:val="en-GB"/>
        </w:rPr>
        <w:t>vegdist</w:t>
      </w:r>
      <w:r>
        <w:rPr>
          <w:rFonts w:ascii="Times New Roman" w:hAnsi="Times New Roman"/>
          <w:b w:val="false"/>
          <w:bCs w:val="false"/>
          <w:color w:val="222222"/>
          <w:lang w:val="en-GB"/>
        </w:rPr>
        <w:t xml:space="preserve"> function from the </w:t>
      </w:r>
      <w:r>
        <w:rPr>
          <w:rFonts w:ascii="Times New Roman" w:hAnsi="Times New Roman"/>
          <w:b w:val="false"/>
          <w:bCs w:val="false"/>
          <w:i/>
          <w:iCs/>
          <w:color w:val="222222"/>
          <w:lang w:val="en-GB"/>
        </w:rPr>
        <w:t>vegan</w:t>
      </w:r>
      <w:r>
        <w:rPr>
          <w:rFonts w:ascii="Times New Roman" w:hAnsi="Times New Roman"/>
          <w:b w:val="false"/>
          <w:bCs w:val="false"/>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w:t>
      </w:r>
      <w:r>
        <w:rPr>
          <w:rFonts w:ascii="Times New Roman" w:hAnsi="Times New Roman"/>
          <w:b w:val="false"/>
          <w:bCs w:val="false"/>
          <w:color w:val="222222"/>
          <w:lang w:val="en-GB"/>
        </w:rPr>
        <w:t>To obtain the Raup-Crick (RC) index, constrained between negative one and one, we</w:t>
      </w:r>
      <w:r>
        <w:rPr>
          <w:rFonts w:ascii="Times New Roman" w:hAnsi="Times New Roman"/>
          <w:b w:val="false"/>
          <w:bCs w:val="false"/>
          <w:color w:val="222222"/>
          <w:lang w:val="en-GB"/>
        </w:rPr>
        <w:t xml:space="preserve"> subtract</w:t>
      </w:r>
      <w:r>
        <w:rPr>
          <w:rFonts w:ascii="Times New Roman" w:hAnsi="Times New Roman"/>
          <w:b w:val="false"/>
          <w:bCs w:val="false"/>
          <w:color w:val="222222"/>
          <w:lang w:val="en-GB"/>
        </w:rPr>
        <w:t>ed</w:t>
      </w:r>
      <w:r>
        <w:rPr>
          <w:rFonts w:ascii="Times New Roman" w:hAnsi="Times New Roman"/>
          <w:b w:val="false"/>
          <w:bCs w:val="false"/>
          <w:color w:val="222222"/>
          <w:lang w:val="en-GB"/>
        </w:rPr>
        <w:t xml:space="preserve"> 0.5 and multipl</w:t>
      </w:r>
      <w:r>
        <w:rPr>
          <w:rFonts w:ascii="Times New Roman" w:hAnsi="Times New Roman"/>
          <w:b w:val="false"/>
          <w:bCs w:val="false"/>
          <w:color w:val="222222"/>
          <w:lang w:val="en-GB"/>
        </w:rPr>
        <w:t>ied</w:t>
      </w:r>
      <w:r>
        <w:rPr>
          <w:rFonts w:ascii="Times New Roman" w:hAnsi="Times New Roman"/>
          <w:b w:val="false"/>
          <w:bCs w:val="false"/>
          <w:color w:val="222222"/>
          <w:lang w:val="en-GB"/>
        </w:rPr>
        <w:t xml:space="preserve"> this difference by two. </w:t>
      </w:r>
      <w:r>
        <w:rPr>
          <w:rFonts w:ascii="Times New Roman" w:hAnsi="Times New Roman"/>
          <w:b w:val="false"/>
          <w:bCs w:val="false"/>
          <w:color w:val="222222"/>
          <w:lang w:val="en-GB"/>
        </w:rPr>
        <w:t>The RC</w:t>
      </w:r>
      <w:r>
        <w:rPr>
          <w:rFonts w:ascii="Times New Roman" w:hAnsi="Times New Roman"/>
          <w:b w:val="false"/>
          <w:bCs w:val="false"/>
          <w:color w:val="222222"/>
          <w:u w:val="none"/>
          <w:lang w:val="en-GB"/>
        </w:rPr>
        <w:t xml:space="preserve"> index </w:t>
      </w:r>
      <w:r>
        <w:rPr>
          <w:rFonts w:ascii="Times New Roman" w:hAnsi="Times New Roman"/>
          <w:b w:val="false"/>
          <w:bCs w:val="false"/>
          <w:color w:val="222222"/>
          <w:lang w:val="en-GB"/>
        </w:rPr>
        <w:t xml:space="preserve">has a useful interpretation and can be used to measure the importance of deterministic processes during community assembly. RC values close to negative one indicate that communities converge deterministically, resulting in a higher than random chance of observing more similar plant community composition. In contrast, RC values approaching one suggest that different communities diverge deterministically during the assembly process, resulting in a higher chance of observing more dissimilar plant community composition. </w:t>
      </w:r>
      <w:r>
        <w:rPr>
          <w:rFonts w:ascii="Times New Roman" w:hAnsi="Times New Roman"/>
          <w:color w:val="222222"/>
          <w:lang w:val="en-GB"/>
        </w:rPr>
        <w:t xml:space="preserve">Following the procedure developed by Alberti et al. (2017), we tested treatment effects on community assembly processes using linear mixed models. RC values for pairwise comparisons of plots within the treatment (five comparisons for each treatment, i.e. plots 1 vs. 2, 1 vs. 3, 1 vs. 4, 1 vs. 5, 1 vs. 6) were </w:t>
      </w:r>
      <w:r>
        <w:rPr>
          <w:rFonts w:ascii="Times New Roman" w:hAnsi="Times New Roman"/>
          <w:color w:val="222222"/>
          <w:highlight w:val="yellow"/>
          <w:lang w:val="en-GB"/>
        </w:rPr>
        <w:t>fitted as</w:t>
      </w:r>
      <w:r>
        <w:rPr>
          <w:rFonts w:ascii="Times New Roman" w:hAnsi="Times New Roman"/>
          <w:color w:val="222222"/>
          <w:lang w:val="en-GB"/>
        </w:rPr>
        <w:t xml:space="preserve"> response values.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r>
        <w:rPr>
          <w:rFonts w:ascii="Times New Roman" w:hAnsi="Times New Roman"/>
          <w:i w:val="false"/>
          <w:iCs w:val="false"/>
          <w:color w:val="222222"/>
          <w:lang w:val="en-GB"/>
        </w:rPr>
        <w:t>.</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(Table S1), with 40 woody species. The mean biomass per plot was 82.156 kg (95% CI</w:t>
      </w:r>
      <w:bookmarkStart w:id="5" w:name="rstudio_console_output"/>
      <w:bookmarkEnd w:id="5"/>
      <w:r>
        <w:rPr>
          <w:rFonts w:ascii="Times New Roman" w:hAnsi="Times New Roman"/>
          <w:lang w:val="en-GB"/>
        </w:rPr>
        <w:t xml:space="preserve">: 46.815, </w:t>
      </w:r>
      <w:bookmarkStart w:id="6" w:name="rstudio_console_output1"/>
      <w:bookmarkEnd w:id="6"/>
      <w:r>
        <w:rPr>
          <w:rFonts w:ascii="Times New Roman" w:hAnsi="Times New Roman"/>
          <w:lang w:val="en-GB"/>
        </w:rPr>
        <w:t xml:space="preserve">144.175). </w:t>
      </w:r>
      <w:r>
        <w:rPr>
          <w:rFonts w:ascii="Times New Roman" w:hAnsi="Times New Roman"/>
          <w:highlight w:val="yellow"/>
          <w:lang w:val="en-GB"/>
        </w:rPr>
        <w:t xml:space="preserve">Most abundant species included </w:t>
      </w:r>
      <w:r>
        <w:rPr>
          <w:rFonts w:ascii="Times New Roman" w:hAnsi="Times New Roman"/>
          <w:i/>
          <w:iCs/>
          <w:highlight w:val="yellow"/>
          <w:lang w:val="en-GB"/>
        </w:rPr>
        <w:t>Trema orientalis</w:t>
      </w:r>
      <w:r>
        <w:rPr>
          <w:rFonts w:ascii="Times New Roman" w:hAnsi="Times New Roman"/>
          <w:highlight w:val="yellow"/>
          <w:lang w:val="en-GB"/>
        </w:rPr>
        <w:t xml:space="preserve">, </w:t>
      </w:r>
      <w:r>
        <w:rPr>
          <w:rFonts w:ascii="Times New Roman" w:hAnsi="Times New Roman"/>
          <w:i/>
          <w:iCs/>
          <w:highlight w:val="yellow"/>
          <w:lang w:val="en-GB"/>
        </w:rPr>
        <w:t xml:space="preserve">Melanolepis multiglandulosa </w:t>
      </w:r>
      <w:r>
        <w:rPr>
          <w:rFonts w:ascii="Times New Roman" w:hAnsi="Times New Roman"/>
          <w:i w:val="false"/>
          <w:iCs w:val="false"/>
          <w:highlight w:val="yellow"/>
          <w:lang w:val="en-GB"/>
        </w:rPr>
        <w:t>and</w:t>
      </w:r>
      <w:r>
        <w:rPr>
          <w:rFonts w:ascii="Times New Roman" w:hAnsi="Times New Roman"/>
          <w:highlight w:val="yellow"/>
          <w:lang w:val="en-GB"/>
        </w:rPr>
        <w:t xml:space="preserve"> </w:t>
      </w:r>
      <w:r>
        <w:rPr>
          <w:rFonts w:ascii="Times New Roman" w:hAnsi="Times New Roman"/>
          <w:i/>
          <w:iCs/>
          <w:highlight w:val="yellow"/>
          <w:lang w:val="en-GB"/>
        </w:rPr>
        <w:t>Pipturus argenteus</w:t>
      </w:r>
      <w:r>
        <w:rPr>
          <w:rFonts w:ascii="Times New Roman" w:hAnsi="Times New Roman"/>
          <w:highlight w:val="yellow"/>
          <w:lang w:val="en-GB"/>
        </w:rPr>
        <w:t xml:space="preserve">. Highest biomass, nearly 129 kg, was reached by </w:t>
      </w:r>
      <w:r>
        <w:rPr>
          <w:rFonts w:ascii="Times New Roman" w:hAnsi="Times New Roman"/>
          <w:i/>
          <w:iCs/>
          <w:highlight w:val="yellow"/>
          <w:lang w:val="en-GB"/>
        </w:rPr>
        <w:t>Melochia</w:t>
      </w:r>
      <w:r>
        <w:rPr>
          <w:rFonts w:ascii="Times New Roman" w:hAnsi="Times New Roman"/>
          <w:highlight w:val="yellow"/>
          <w:lang w:val="en-GB"/>
        </w:rPr>
        <w:t xml:space="preserve"> sp. 1. However, this species was present only at one block. From non-woody plants </w:t>
      </w:r>
      <w:r>
        <w:rPr>
          <w:rFonts w:ascii="Times New Roman" w:hAnsi="Times New Roman"/>
          <w:i/>
          <w:iCs/>
          <w:highlight w:val="yellow"/>
          <w:lang w:val="en-GB"/>
        </w:rPr>
        <w:t>Mikania micrantha</w:t>
      </w:r>
      <w:r>
        <w:rPr>
          <w:rFonts w:ascii="Times New Roman" w:hAnsi="Times New Roman"/>
          <w:highlight w:val="yellow"/>
          <w:lang w:val="en-GB"/>
        </w:rPr>
        <w:t xml:space="preserve"> vein had highest biomass (… kg) among the control plots (Figure S1) </w:t>
      </w:r>
      <w:r>
        <w:rPr>
          <w:rFonts w:ascii="Times New Roman" w:hAnsi="Times New Roman"/>
          <w:lang w:val="en-GB"/>
        </w:rPr>
        <w:t xml:space="preserve">. </w:t>
      </w:r>
      <w:r>
        <w:rPr>
          <w:rFonts w:ascii="Times New Roman" w:hAnsi="Times New Roman"/>
          <w:highlight w:val="yellow"/>
          <w:lang w:val="en-GB"/>
        </w:rPr>
        <w:t>Dominance structure varied between gardens. We observed high variability in both between and within treatment community composition. Intra-treatment Jaccard dissimilarity was generally high with an average X and mle profiles 95 CI: … (Fig SX) and these values were similar for all the other treatments (betareg). Similar variability values were observed for the pairwise dissimilarities between control plots and one of the five treatments plots, there were also no significant differences in dissimilarity ().</w:t>
      </w:r>
      <w:r>
        <w:rPr>
          <w:rFonts w:ascii="Times New Roman" w:hAnsi="Times New Roman"/>
          <w:lang w:val="en-GB"/>
        </w:rPr>
        <w:t xml:space="preserve"> One insecticide treated plot was overgro</w:t>
      </w:r>
      <w:bookmarkStart w:id="7" w:name="rstudio_console_output6"/>
      <w:bookmarkEnd w:id="7"/>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w:t>
      </w:r>
      <w:r>
        <w:rPr>
          <w:rFonts w:ascii="Times New Roman" w:hAnsi="Times New Roman"/>
          <w:i w:val="false"/>
          <w:iCs w:val="false"/>
          <w:lang w:val="en-GB"/>
        </w:rPr>
        <w:t>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8" w:name="rstudio_console_output8"/>
      <w:bookmarkEnd w:id="8"/>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9" w:name="rstudio_console_output5"/>
      <w:bookmarkEnd w:id="9"/>
      <w:r>
        <w:rPr>
          <w:rFonts w:ascii="Times New Roman" w:hAnsi="Times New Roman"/>
          <w:lang w:val="en-GB"/>
        </w:rPr>
        <w:t>t-value = -2.291   p = 0.031). A similar pattern was shown for Simpson’s diversity. Additionally, insecticide caused an increase in LDMC (t-value = 2.228, p = 0.035) and marginally significant decrease in SLA (t-value = -1.991, p = 0.058). Similar patterns were observed in woody plant communities, but only for LDMC (</w:t>
      </w:r>
      <w:bookmarkStart w:id="10" w:name="rstudio_console_output14"/>
      <w:bookmarkEnd w:id="10"/>
      <w:r>
        <w:rPr>
          <w:rFonts w:ascii="Times New Roman" w:hAnsi="Times New Roman"/>
          <w:lang w:val="en-GB"/>
        </w:rPr>
        <w:t>t-value = 2.071, p = 0.049). None of the treatments significantly affected the evenness or species richness of our experimental communities.</w:t>
      </w:r>
    </w:p>
    <w:p>
      <w:pPr>
        <w:pStyle w:val="TextBody"/>
        <w:rPr/>
      </w:pPr>
      <w:r>
        <w:rPr>
          <w:rFonts w:ascii="Times New Roman" w:hAnsi="Times New Roman"/>
          <w:i w:val="false"/>
          <w:iCs w:val="false"/>
          <w:lang w:val="en-GB"/>
        </w:rPr>
        <w:t xml:space="preserve">Species composition was significant altered by insecticide treatment (I) only (permutation test Fig 3, F = </w:t>
      </w:r>
      <w:r>
        <w:rPr/>
        <w:t xml:space="preserve">3.135  p = 0.019), </w:t>
      </w:r>
      <w:r>
        <w:rPr>
          <w:rFonts w:ascii="Times New Roman" w:hAnsi="Times New Roman"/>
          <w:i w:val="false"/>
          <w:iCs w:val="false"/>
          <w:lang w:val="en-GB"/>
        </w:rPr>
        <w:t>resulting in shifts in the dominance structure in comparison with the control (</w:t>
      </w:r>
      <w:r>
        <w:rPr>
          <w:rFonts w:ascii="Times New Roman" w:hAnsi="Times New Roman"/>
          <w:i w:val="false"/>
          <w:iCs w:val="false"/>
          <w:highlight w:val="yellow"/>
          <w:lang w:val="en-GB"/>
        </w:rPr>
        <w:t>Fig. ...</w:t>
      </w:r>
      <w:r>
        <w:rPr>
          <w:rFonts w:ascii="Times New Roman" w:hAnsi="Times New Roman"/>
          <w:i w:val="false"/>
          <w:iCs w:val="false"/>
          <w:lang w:val="en-GB"/>
        </w:rPr>
        <w:t>). The first ordination axis was related with decreasing herbivory and by itself explained 19.55 % of variation in community composition. Similar effects were present when we considered only woody plant communities (permutation test, F</w:t>
      </w:r>
      <w:bookmarkStart w:id="11" w:name="rstudio_console_output4"/>
      <w:bookmarkEnd w:id="11"/>
      <w:r>
        <w:rPr>
          <w:rFonts w:ascii="Times New Roman" w:hAnsi="Times New Roman"/>
          <w:i w:val="false"/>
          <w:iCs w:val="false"/>
          <w:lang w:val="en-GB"/>
        </w:rPr>
        <w:t xml:space="preserve"> = 2.6154, p = 0.05, not shown in the figure). Except for the marginally significance of high herbivory plots (H2), community composition in other treatments didn’t show consistent and predictable patterns. Only a few species were present in both control and one of the treatment plots, allowing for minimal comparison of their changes in relative abundance (Fig. 4). Shifts in dominance structure in the insecticide treated plots were mainly caused by a consistent increase in relative abundance of one of the woody plant dominants: </w:t>
      </w:r>
      <w:r>
        <w:rPr>
          <w:rFonts w:ascii="Times New Roman" w:hAnsi="Times New Roman"/>
          <w:i/>
          <w:iCs/>
          <w:lang w:val="en-GB"/>
        </w:rPr>
        <w:t>Pipturus argenteus (</w:t>
      </w:r>
      <w:r>
        <w:rPr>
          <w:rFonts w:ascii="Times New Roman" w:hAnsi="Times New Roman"/>
          <w:i/>
          <w:iCs/>
          <w:highlight w:val="yellow"/>
          <w:lang w:val="en-GB"/>
        </w:rPr>
        <w:t>betareg results</w:t>
      </w:r>
      <w:r>
        <w:rPr>
          <w:rFonts w:ascii="Times New Roman" w:hAnsi="Times New Roman"/>
          <w:i/>
          <w:iCs/>
          <w:lang w:val="en-GB"/>
        </w:rPr>
        <w:t xml:space="preserve">). </w:t>
      </w:r>
      <w:r>
        <w:rPr>
          <w:rFonts w:ascii="Times New Roman" w:hAnsi="Times New Roman"/>
          <w:i w:val="false"/>
          <w:iCs w:val="false"/>
          <w:lang w:val="en-GB"/>
        </w:rPr>
        <w:t xml:space="preserve">This pattern coincided with decreased dominance of vein </w:t>
      </w:r>
      <w:r>
        <w:rPr>
          <w:rFonts w:ascii="Times New Roman" w:hAnsi="Times New Roman"/>
          <w:i/>
          <w:iCs/>
          <w:lang w:val="en-GB"/>
        </w:rPr>
        <w:t>Mikania micrantha</w:t>
      </w:r>
      <w:r>
        <w:rPr>
          <w:rFonts w:ascii="Times New Roman" w:hAnsi="Times New Roman"/>
          <w:i w:val="false"/>
          <w:iCs w:val="false"/>
          <w:lang w:val="en-GB"/>
        </w:rPr>
        <w:t xml:space="preserve"> (</w:t>
      </w:r>
      <w:r>
        <w:rPr>
          <w:rFonts w:ascii="Times New Roman" w:hAnsi="Times New Roman"/>
          <w:i w:val="false"/>
          <w:iCs w:val="false"/>
          <w:highlight w:val="yellow"/>
          <w:lang w:val="en-GB"/>
        </w:rPr>
        <w:t>betareg results</w:t>
      </w:r>
      <w:r>
        <w:rPr>
          <w:rFonts w:ascii="Times New Roman" w:hAnsi="Times New Roman"/>
          <w:i w:val="false"/>
          <w:iCs w:val="false"/>
          <w:lang w:val="en-GB"/>
        </w:rPr>
        <w:t xml:space="preserve">) and </w:t>
      </w:r>
      <w:r>
        <w:rPr>
          <w:rFonts w:ascii="Times New Roman" w:hAnsi="Times New Roman"/>
          <w:i/>
          <w:iCs/>
          <w:lang w:val="en-GB"/>
        </w:rPr>
        <w:t xml:space="preserve">Melanolepis multiglandulosa </w:t>
      </w:r>
      <w:r>
        <w:rPr>
          <w:rFonts w:ascii="Times New Roman" w:hAnsi="Times New Roman"/>
          <w:i w:val="false"/>
          <w:iCs w:val="false"/>
          <w:lang w:val="en-GB"/>
        </w:rPr>
        <w:t>(</w:t>
      </w:r>
      <w:r>
        <w:rPr>
          <w:rFonts w:ascii="Times New Roman" w:hAnsi="Times New Roman"/>
          <w:i w:val="false"/>
          <w:iCs w:val="false"/>
          <w:highlight w:val="yellow"/>
          <w:lang w:val="en-GB"/>
        </w:rPr>
        <w:t>betareg results</w:t>
      </w:r>
      <w:r>
        <w:rPr>
          <w:rFonts w:ascii="Times New Roman" w:hAnsi="Times New Roman"/>
          <w:i w:val="false"/>
          <w:iCs w:val="false"/>
          <w:lang w:val="en-GB"/>
        </w:rPr>
        <w:t>). In these 3 species, there were no significant differences in leaf area loss due to herbivory. However, these three species differed significantly in their SLA and LDMC values (</w:t>
      </w:r>
      <w:r>
        <w:rPr>
          <w:rFonts w:ascii="Times New Roman" w:hAnsi="Times New Roman"/>
          <w:i w:val="false"/>
          <w:iCs w:val="false"/>
          <w:highlight w:val="yellow"/>
          <w:lang w:val="en-GB"/>
        </w:rPr>
        <w:t>Fig. SX Tukey</w:t>
      </w:r>
      <w:r>
        <w:rPr>
          <w:rFonts w:ascii="Times New Roman" w:hAnsi="Times New Roman"/>
          <w:i w:val="false"/>
          <w:iCs w:val="false"/>
          <w:lang w:val="en-GB"/>
        </w:rPr>
        <w:t xml:space="preserve">) with </w:t>
      </w:r>
      <w:r>
        <w:rPr>
          <w:rFonts w:ascii="Times New Roman" w:hAnsi="Times New Roman"/>
          <w:i/>
          <w:iCs/>
          <w:lang w:val="en-GB"/>
        </w:rPr>
        <w:t>P. argenteus</w:t>
      </w:r>
      <w:r>
        <w:rPr>
          <w:rFonts w:ascii="Times New Roman" w:hAnsi="Times New Roman"/>
          <w:i w:val="false"/>
          <w:iCs w:val="false"/>
          <w:lang w:val="en-GB"/>
        </w:rPr>
        <w:t xml:space="preserve"> having higher SLA and lower LDMC value than </w:t>
      </w:r>
      <w:r>
        <w:rPr>
          <w:rFonts w:ascii="Times New Roman" w:hAnsi="Times New Roman"/>
          <w:i/>
          <w:iCs/>
          <w:lang w:val="en-GB"/>
        </w:rPr>
        <w:t>M.micrantha</w:t>
      </w:r>
      <w:r>
        <w:rPr>
          <w:rFonts w:ascii="Times New Roman" w:hAnsi="Times New Roman"/>
          <w:i w:val="false"/>
          <w:iCs w:val="false"/>
          <w:lang w:val="en-GB"/>
        </w:rPr>
        <w:t xml:space="preserve"> and </w:t>
      </w:r>
      <w:r>
        <w:rPr>
          <w:rFonts w:ascii="Times New Roman" w:hAnsi="Times New Roman"/>
          <w:i/>
          <w:iCs/>
          <w:lang w:val="en-GB"/>
        </w:rPr>
        <w:t>M. multiglandulosa</w:t>
      </w:r>
      <w:r>
        <w:rPr>
          <w:rFonts w:ascii="Times New Roman" w:hAnsi="Times New Roman"/>
          <w:i w:val="false"/>
          <w:iCs w:val="false"/>
          <w:lang w:val="en-GB"/>
        </w:rPr>
        <w:t xml:space="preserve"> .</w:t>
      </w:r>
    </w:p>
    <w:p>
      <w:pPr>
        <w:pStyle w:val="TextBody"/>
        <w:rPr/>
      </w:pPr>
      <w:r>
        <w:rPr>
          <w:rFonts w:ascii="Times New Roman" w:hAnsi="Times New Roman"/>
          <w:lang w:val="en-GB"/>
        </w:rPr>
        <w:t>The RC index values among the control plots showed highly variable, but non-random community composition (</w:t>
      </w:r>
      <w:r>
        <w:rPr>
          <w:rFonts w:ascii="Times New Roman" w:hAnsi="Times New Roman"/>
          <w:highlight w:val="yellow"/>
          <w:lang w:val="en-GB"/>
        </w:rPr>
        <w:t>Fig. X</w:t>
      </w:r>
      <w:r>
        <w:rPr>
          <w:rFonts w:ascii="Times New Roman" w:hAnsi="Times New Roman"/>
          <w:lang w:val="en-GB"/>
        </w:rPr>
        <w:t>). I</w:t>
      </w:r>
      <w:r>
        <w:rPr>
          <w:rFonts w:ascii="Times New Roman" w:hAnsi="Times New Roman"/>
          <w:color w:val="000000"/>
          <w:lang w:val="en-GB"/>
        </w:rPr>
        <w:t>nsecticide treatment (</w:t>
      </w:r>
      <w:r>
        <w:rPr>
          <w:rFonts w:ascii="Times New Roman" w:hAnsi="Times New Roman"/>
          <w:color w:val="000000"/>
          <w:highlight w:val="yellow"/>
          <w:lang w:val="en-GB"/>
        </w:rPr>
        <w:t>χ</w:t>
      </w:r>
      <w:r>
        <w:rPr>
          <w:rFonts w:ascii="Times New Roman" w:hAnsi="Times New Roman"/>
          <w:color w:val="000000"/>
          <w:highlight w:val="yellow"/>
          <w:vertAlign w:val="superscript"/>
          <w:lang w:val="en-GB"/>
        </w:rPr>
        <w:t>2</w:t>
      </w:r>
      <w:r>
        <w:rPr>
          <w:rFonts w:ascii="Times New Roman" w:hAnsi="Times New Roman"/>
          <w:color w:val="000000"/>
          <w:highlight w:val="yellow"/>
          <w:lang w:val="en-GB"/>
        </w:rPr>
        <w:t xml:space="preserve"> = 3.892, P = 0.048</w:t>
      </w:r>
      <w:r>
        <w:rPr>
          <w:rFonts w:ascii="Times New Roman" w:hAnsi="Times New Roman"/>
          <w:color w:val="000000"/>
          <w:lang w:val="en-GB"/>
        </w:rPr>
        <w:t>) and predator exclusion (</w:t>
      </w:r>
      <w:bookmarkStart w:id="12" w:name="rstudio_console_output2"/>
      <w:bookmarkEnd w:id="12"/>
      <w:r>
        <w:rPr>
          <w:rFonts w:ascii="Times New Roman" w:hAnsi="Times New Roman"/>
          <w:color w:val="000000"/>
          <w:highlight w:val="yellow"/>
          <w:lang w:val="en-GB"/>
        </w:rPr>
        <w:t>χ</w:t>
      </w:r>
      <w:r>
        <w:rPr>
          <w:rFonts w:ascii="Times New Roman" w:hAnsi="Times New Roman"/>
          <w:color w:val="000000"/>
          <w:highlight w:val="yellow"/>
          <w:vertAlign w:val="superscript"/>
          <w:lang w:val="en-GB"/>
        </w:rPr>
        <w:t>2</w:t>
      </w:r>
      <w:r>
        <w:rPr>
          <w:rFonts w:ascii="Times New Roman" w:hAnsi="Times New Roman"/>
          <w:color w:val="000000"/>
          <w:highlight w:val="yellow"/>
          <w:lang w:val="en-GB"/>
        </w:rPr>
        <w:t xml:space="preserve"> = 4.923, P = 0.026</w:t>
      </w:r>
      <w:r>
        <w:rPr>
          <w:rFonts w:ascii="Times New Roman" w:hAnsi="Times New Roman"/>
          <w:color w:val="000000"/>
          <w:lang w:val="en-GB"/>
        </w:rPr>
        <w:t>) significantly decreased RC values, and increased randomness of community assembly (mean RC index values closer to zero) for woody plants.</w:t>
      </w:r>
    </w:p>
    <w:p>
      <w:pPr>
        <w:pStyle w:val="TextBody"/>
        <w:rPr/>
      </w:pPr>
      <w:r>
        <w:rPr>
          <w:b/>
          <w:bCs/>
          <w:sz w:val="24"/>
          <w:szCs w:val="24"/>
        </w:rPr>
        <w:t>Discussion</w:t>
      </w:r>
    </w:p>
    <w:p>
      <w:pPr>
        <w:pStyle w:val="TextBody"/>
        <w:rPr/>
      </w:pPr>
      <w:r>
        <w:rPr>
          <w:rFonts w:ascii="Times New Roman" w:hAnsi="Times New Roman"/>
          <w:sz w:val="24"/>
          <w:szCs w:val="24"/>
          <w:lang w:val="en-GB"/>
        </w:rPr>
        <w:t>Our study showed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the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a strong effect on the plant community composition (similar to results from primary forest (Bagchi et al. 2014)). Kempel et al. (2015) argued that these changes can be driven by the preferences of invertebrate herbivores. Looking at the damage caused by herbivores for the species driving compositional shifts in our experimental communities showed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(but not richness and evenness) of our experimental plant communities, which is in partial agreement with the majority of large herbivore exclusion experiments from temperate grasslands (Stein et al. 2010, Mortensen et al. 2018, Jia et al. 2018). The mechanism responsible for these patterns has been proposed by </w:t>
      </w:r>
      <w:r>
        <w:rPr>
          <w:rFonts w:ascii="Times New Roman" w:hAnsi="Times New Roman"/>
          <w:color w:val="111111"/>
          <w:lang w:val="en-GB"/>
        </w:rPr>
        <w:t>Agrawal et al.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showed no effect on stem density or biomass. Herbivore removal experiments in the tropics usually result in higher biomass and plant abundance (Jia et al. 2018). However, successional theory predicts no effect of herbivores on the biomass of pioneer stages if </w:t>
      </w:r>
      <w:r>
        <w:rPr>
          <w:rFonts w:ascii="Times New Roman" w:hAnsi="Times New Roman"/>
          <w:color w:val="111111"/>
          <w:lang w:val="en-GB"/>
        </w:rPr>
        <w:t xml:space="preserve">plants tend to maximize their growth in competition for light and, in accordance with the resource availability hypothesis (Coley et al. 1985), they can compensate for biomass caused by herbivores (Maron et al. 2014). </w:t>
      </w:r>
    </w:p>
    <w:p>
      <w:pPr>
        <w:pStyle w:val="TextBody"/>
        <w:rPr/>
      </w:pPr>
      <w:r>
        <w:rPr>
          <w:rFonts w:ascii="Times New Roman" w:hAnsi="Times New Roman"/>
          <w:color w:val="111111"/>
          <w:sz w:val="24"/>
          <w:szCs w:val="24"/>
          <w:lang w:val="en-GB"/>
        </w:rPr>
        <w:t xml:space="preserve">Artificially increased herbivory predictably led to lower biomass and lower stem density, although only for the high level of herbivore additions. Interestingly, there were no significant differences in species richness, diversity, and evenness in these H2 plots. </w:t>
      </w:r>
      <w:r>
        <w:rPr>
          <w:rFonts w:ascii="Times New Roman" w:hAnsi="Times New Roman"/>
          <w:color w:val="111111"/>
          <w:lang w:val="en-GB"/>
        </w:rPr>
        <w:t>This lack of impact</w:t>
      </w:r>
      <w:r>
        <w:rPr>
          <w:rFonts w:ascii="Times New Roman" w:hAnsi="Times New Roman"/>
          <w:color w:val="00000A"/>
          <w:lang w:val="en-GB"/>
        </w:rPr>
        <w:t xml:space="preserve"> may confirm conclusions based on simple simulations performed by Freckleton and Lewis (2006), which showed that density dependence caused by generalist natural enemies, </w:t>
      </w:r>
      <w:r>
        <w:rPr>
          <w:rFonts w:ascii="Times New Roman" w:hAnsi="Times New Roman"/>
          <w:color w:val="00000A"/>
          <w:highlight w:val="yellow"/>
          <w:lang w:val="en-GB"/>
        </w:rPr>
        <w:t xml:space="preserve">acting through total community density (as opposed to individual species density), </w:t>
      </w:r>
      <w:r>
        <w:rPr>
          <w:rFonts w:ascii="Times New Roman" w:hAnsi="Times New Roman"/>
          <w:color w:val="00000A"/>
          <w:lang w:val="en-GB"/>
        </w:rPr>
        <w:t xml:space="preserve">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As discussed in a review by Mooney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may cause the biomass of experimental communities to not differ greatly from those in the control plots. Moreover, Schmitz et al.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We found no effect of pathogenic fungi removal on community composition, which supports our prediction that their impacts would be reduced in early-stage succession. </w:t>
      </w:r>
      <w:r>
        <w:rPr>
          <w:rFonts w:ascii="Times New Roman" w:hAnsi="Times New Roman"/>
          <w:color w:val="111111"/>
          <w:lang w:val="en-GB"/>
        </w:rPr>
        <w:t xml:space="preserve">Fungal pathogens can drive species turnover through the accumulation of host-specific pathogens in time (Kardol et al.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(Marquis et al. 2001). The effect of pathogenic fungi on community richness might not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and Liebold 2002, Chalcraft et al 2004, Chase 2010). The RC values for communities without herbivores and with predators excluded were closer to zero, similar to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For predator exclusion, Chase et al. (2009)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Mordecai (2011) presented two hypotheses for pathogenic fungi diversity-promoting mechanisms, which would produce similar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few pitfalls in our methods. During evaluation of the effectiveness of the ant eradication treatment, we didn’t find significant decreases in ant abundance on the ground. However, harvested vegetation generally had a low abundance of small sized, non-predatory canopy ants. Fungicide used in our experiment can potentially accumulate in the soil, which at high concentrations can suppress ammonification and nitrification processes (Walia et al. 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abilities to maintain and sample them all at the same time.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out an important role of pathogenic fungi, predators, and herbivorous insects during initial successional processes, which can shape future plant community composition. We identified potential factors which, if taken into account, can be used to decrease high unpredictability of successional trajectories found in empirical data. From our study we conclude that without a rich network of consumers, successful regeneration of plant communities may be inhibited and the strength of contingent effects during plant communities assembly processes can increase due to intensified inter-specific competition. We show that in the tropics herbivorous insects have the ability to change the competitive structure within regenerating communities, resulting in secondary effects on the community composition. Moreover, different species responses to biotic factors can be related to their traits. Importantly, we showed that pathogenic fungi, previously identified as important factors in shaping diversity of primary forests, have limited influence on the plant assembly process. However, we expect this would change later in succession. </w:t>
      </w:r>
      <w:r>
        <w:rPr>
          <w:rFonts w:ascii="Times New Roman" w:hAnsi="Times New Roman"/>
          <w:color w:val="111111"/>
          <w:lang w:val="en-GB"/>
        </w:rPr>
        <w:t xml:space="preserve">To get deeper insights into the mechanisms of succession, additional information on seed rain, mortality of newly established seedlings in the route of succession would have to be collected. A natural step forward would be to study the effects of these biotic factors in combination, in order to identify possible complementary effects on plant composition and succession. Detailed demographic data for individual species combined with information on their competitive abilities, preferably tested in the greenhouse experiments, would allow for better understanding of the exact mechanisms of biotic control of successional communities. </w:t>
      </w:r>
      <w:r>
        <w:rPr>
          <w:rFonts w:ascii="Times New Roman" w:hAnsi="Times New Roman"/>
          <w:color w:val="111111"/>
          <w:highlight w:val="yellow"/>
          <w:lang w:val="en-GB"/>
        </w:rPr>
        <w:t>In future, disentangling the complex relationship between species functional traits and biotic factors could allow for a better understanding of how we can facilitate more effective regeneration of tropical forests</w:t>
      </w:r>
      <w:r>
        <w:rPr>
          <w:rFonts w:ascii="Times New Roman" w:hAnsi="Times New Roman"/>
          <w:color w:val="111111"/>
          <w:lang w:val="en-GB"/>
        </w:rPr>
        <w:t>.</w:t>
      </w:r>
    </w:p>
    <w:p>
      <w:pPr>
        <w:pStyle w:val="Normal"/>
        <w:spacing w:lineRule="auto" w:line="480"/>
        <w:rPr>
          <w:rFonts w:ascii="Times New Roman" w:hAnsi="Times New Roman"/>
          <w:color w:val="111111"/>
          <w:lang w:val="en-GB"/>
        </w:rPr>
      </w:pPr>
      <w:bookmarkStart w:id="13" w:name="_GoBack"/>
      <w:bookmarkStart w:id="14" w:name="_GoBack"/>
      <w:bookmarkEnd w:id="14"/>
      <w:r>
        <w:rPr>
          <w:rFonts w:ascii="Times New Roman" w:hAnsi="Times New Roman"/>
          <w:color w:val="111111"/>
          <w:lang w:val="en-GB"/>
        </w:rPr>
      </w:r>
    </w:p>
    <w:p>
      <w:pPr>
        <w:pStyle w:val="TextBody"/>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Tereza Holicova for processing leaf frames data. Jan Leps,  Juan Alberti, Leonardo Re Jorge, Nick Pardikes and Moria Robinson for useful discussion, Binatang Rerearch Center staff in Papua New Guinea for support during field work. This article was funded by grants: GACR 17-23862S and the ERC grant 669609 to VN.</w:t>
      </w:r>
    </w:p>
    <w:p>
      <w:pPr>
        <w:pStyle w:val="Normal"/>
        <w:spacing w:lineRule="auto" w:line="480"/>
        <w:rPr>
          <w:b/>
          <w:b/>
          <w:bCs/>
          <w:lang w:val="en-GB"/>
        </w:rPr>
      </w:pPr>
      <w:r>
        <w:rPr>
          <w:b/>
          <w:bCs/>
          <w:lang w:val="en-GB"/>
        </w:rPr>
      </w:r>
    </w:p>
    <w:p>
      <w:pPr>
        <w:pStyle w:val="Normal"/>
        <w:spacing w:lineRule="auto" w:line="480"/>
        <w:rPr/>
      </w:pPr>
      <w:r>
        <w:rPr>
          <w:rFonts w:ascii="Times New Roman" w:hAnsi="Times New Roman"/>
          <w:b/>
          <w:bCs/>
          <w:lang w:val="en-GB"/>
        </w:rPr>
        <w:t>Authors’ contribution</w:t>
      </w:r>
    </w:p>
    <w:p>
      <w:pPr>
        <w:pStyle w:val="Normal"/>
        <w:spacing w:lineRule="auto" w:line="480"/>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pPr>
      <w:r>
        <w:rPr>
          <w:rFonts w:ascii="Times New Roman" w:hAnsi="Times New Roman"/>
          <w:b/>
          <w:bCs/>
          <w:lang w:val="en-GB"/>
        </w:rPr>
        <w:t>References</w:t>
      </w:r>
    </w:p>
    <w:p>
      <w:pPr>
        <w:pStyle w:val="Normal"/>
        <w:spacing w:lineRule="auto" w:line="480"/>
        <w:rPr>
          <w:rFonts w:ascii="Times New Roman" w:hAnsi="Times New Roman"/>
          <w:b/>
          <w:b/>
          <w:bCs/>
          <w:lang w:val="en-GB"/>
        </w:rPr>
      </w:pPr>
      <w:r>
        <w:rPr>
          <w:rFonts w:ascii="Times New Roman" w:hAnsi="Times New Roman"/>
          <w:b/>
          <w:bCs/>
          <w:lang w:val="en-GB"/>
        </w:rPr>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 xml:space="preserve">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w:t>
      </w:r>
      <w:r>
        <w:rPr>
          <w:rFonts w:ascii="Times New Roman" w:hAnsi="Times New Roman"/>
          <w:lang w:val="en-GB"/>
        </w:rPr>
        <w:t xml:space="preserve">H </w:t>
      </w:r>
      <w:r>
        <w:rPr>
          <w:rFonts w:ascii="Times New Roman" w:hAnsi="Times New Roman"/>
          <w:lang w:val="en-GB"/>
        </w:rPr>
        <w:t xml:space="preserve">index. Abundance represents number of stems </w:t>
      </w:r>
      <w:r>
        <w:rPr>
          <w:rFonts w:ascii="Times New Roman" w:hAnsi="Times New Roman"/>
          <w:lang w:val="en-GB"/>
        </w:rPr>
        <w:t>with</w:t>
      </w:r>
      <w:r>
        <w:rPr>
          <w:rFonts w:ascii="Times New Roman" w:hAnsi="Times New Roman"/>
          <w:lang w:val="en-GB"/>
        </w:rPr>
        <w:t xml:space="preserve"> DBH </w:t>
      </w:r>
      <w:r>
        <w:rPr>
          <w:rFonts w:ascii="Times New Roman" w:hAnsi="Times New Roman"/>
          <w:lang w:val="en-GB"/>
        </w:rPr>
        <w:t xml:space="preserve">&gt; 1cm </w:t>
      </w:r>
      <w:r>
        <w:rPr>
          <w:rFonts w:ascii="Times New Roman" w:hAnsi="Times New Roman"/>
          <w:lang w:val="en-GB"/>
        </w:rPr>
        <w:t>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significant factor is plotted. Each axis is described by their percentage of explained variance. Species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w:t>
      </w:r>
      <w:r>
        <w:rPr>
          <w:rFonts w:ascii="Times New Roman" w:hAnsi="Times New Roman"/>
          <w:lang w:val="en-GB"/>
        </w:rPr>
        <w:t>for different treatments</w:t>
      </w:r>
      <w:r>
        <w:rPr>
          <w:rFonts w:ascii="Times New Roman" w:hAnsi="Times New Roman"/>
          <w:lang w:val="en-GB"/>
        </w:rPr>
        <w:t>. Values of LDMC and herbivory are logit</w:t>
      </w:r>
      <w:r>
        <w:rPr>
          <w:rFonts w:ascii="Times New Roman" w:hAnsi="Times New Roman"/>
          <w:lang w:val="en-GB"/>
        </w:rPr>
        <w:t>-</w:t>
      </w:r>
      <w:r>
        <w:rPr>
          <w:rFonts w:ascii="Times New Roman" w:hAnsi="Times New Roman"/>
          <w:lang w:val="en-GB"/>
        </w:rPr>
        <w:t>transformed, and SLA log</w:t>
      </w:r>
      <w:r>
        <w:rPr>
          <w:rFonts w:ascii="Times New Roman" w:hAnsi="Times New Roman"/>
          <w:lang w:val="en-GB"/>
        </w:rPr>
        <w:t>-</w:t>
      </w:r>
      <w:r>
        <w:rPr>
          <w:rFonts w:ascii="Times New Roman" w:hAnsi="Times New Roman"/>
          <w:lang w:val="en-GB"/>
        </w:rPr>
        <w:t xml:space="preserve">transformed. </w:t>
      </w:r>
      <w:r>
        <w:rPr>
          <w:rFonts w:ascii="Times New Roman" w:hAnsi="Times New Roman"/>
          <w:lang w:val="en-GB"/>
        </w:rPr>
        <w:t>Bars show means and …. [what?]. Red colour indicates significance at the alpha = 0.05, and orange at alpha = 0.5.</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8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15273</TotalTime>
  <Application>LibreOffice/5.3.6.1$Linux_X86_64 LibreOffice_project/30$Build-1</Application>
  <Pages>22</Pages>
  <Words>5460</Words>
  <Characters>31253</Characters>
  <CharactersWithSpaces>36682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2019-02-13T11:33:05Z</dcterms:modified>
  <cp:revision>1642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