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color w:val="auto"/>
        </w:rPr>
      </w:pPr>
      <w:r>
        <w:rPr>
          <w:rFonts w:ascii="Times New Roman" w:hAnsi="Times New Roman"/>
          <w:b/>
          <w:bCs/>
          <w:i w:val="false"/>
          <w:iCs w:val="false"/>
          <w:color w:val="auto"/>
        </w:rPr>
        <w:t>Supplementary figures</w:t>
      </w:r>
    </w:p>
    <w:p>
      <w:pPr>
        <w:pStyle w:val="Normal"/>
        <w:rPr>
          <w:rFonts w:ascii="Times New Roman" w:hAnsi="Times New Roman"/>
          <w:b/>
          <w:b/>
          <w:bCs/>
          <w:i w:val="false"/>
          <w:i w:val="false"/>
          <w:iCs w:val="false"/>
          <w:color w:val="auto"/>
        </w:rPr>
      </w:pPr>
      <w:r>
        <w:rPr>
          <w:rFonts w:ascii="Times New Roman" w:hAnsi="Times New Roman"/>
          <w:b/>
          <w:bCs/>
          <w:i w:val="false"/>
          <w:iCs w:val="false"/>
          <w:color w:val="auto"/>
        </w:rPr>
      </w:r>
    </w:p>
    <w:p>
      <w:pPr>
        <w:pStyle w:val="Normal"/>
        <w:rPr>
          <w:rFonts w:ascii="Times New Roman" w:hAnsi="Times New Roman"/>
          <w:b/>
          <w:b/>
          <w:bCs/>
          <w:i w:val="false"/>
          <w:i w:val="false"/>
          <w:iCs w:val="false"/>
          <w:color w:val="auto"/>
        </w:rPr>
      </w:pPr>
      <w:r>
        <w:rPr>
          <w:rFonts w:ascii="Times New Roman" w:hAnsi="Times New Roman"/>
          <w:b/>
          <w:bCs/>
          <w:i w:val="false"/>
          <w:iCs w:val="false"/>
          <w:color w:val="auto"/>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059680" cy="4371975"/>
            <wp:effectExtent l="0" t="0" r="0" b="0"/>
            <wp:wrapTopAndBottom/>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2"/>
                    <a:stretch>
                      <a:fillRect/>
                    </a:stretch>
                  </pic:blipFill>
                  <pic:spPr bwMode="auto">
                    <a:xfrm>
                      <a:off x="0" y="0"/>
                      <a:ext cx="5059680" cy="4371975"/>
                    </a:xfrm>
                    <a:prstGeom prst="rect">
                      <a:avLst/>
                    </a:prstGeom>
                  </pic:spPr>
                </pic:pic>
              </a:graphicData>
            </a:graphic>
          </wp:anchor>
        </w:drawing>
      </w:r>
    </w:p>
    <w:p>
      <w:pPr>
        <w:pStyle w:val="Normal"/>
        <w:jc w:val="both"/>
        <w:rPr>
          <w:rFonts w:ascii="Times New Roman" w:hAnsi="Times New Roman"/>
          <w:sz w:val="20"/>
        </w:rPr>
      </w:pPr>
      <w:r>
        <w:rPr>
          <w:rFonts w:ascii="Times New Roman" w:hAnsi="Times New Roman"/>
          <w:b/>
          <w:bCs/>
          <w:i w:val="false"/>
          <w:iCs w:val="false"/>
          <w:color w:val="auto"/>
          <w:sz w:val="20"/>
          <w:szCs w:val="20"/>
        </w:rPr>
        <w:t>Figure S1</w:t>
      </w:r>
      <w:r>
        <w:rPr>
          <w:rFonts w:ascii="Times New Roman" w:hAnsi="Times New Roman"/>
          <w:b w:val="false"/>
          <w:bCs w:val="false"/>
          <w:i w:val="false"/>
          <w:iCs w:val="false"/>
          <w:color w:val="auto"/>
          <w:sz w:val="20"/>
          <w:szCs w:val="20"/>
        </w:rPr>
        <w:t>. Statistical relationship between pallatable plant biomass (</w:t>
      </w:r>
      <w:r>
        <w:rPr>
          <w:rFonts w:ascii="Times New Roman" w:hAnsi="Times New Roman"/>
          <w:b/>
          <w:bCs/>
          <w:i w:val="false"/>
          <w:iCs w:val="false"/>
          <w:color w:val="auto"/>
          <w:sz w:val="20"/>
          <w:szCs w:val="20"/>
        </w:rPr>
        <w:t>leaf biomass)</w:t>
      </w:r>
      <w:r>
        <w:rPr>
          <w:rFonts w:ascii="Times New Roman" w:hAnsi="Times New Roman"/>
          <w:b w:val="false"/>
          <w:bCs w:val="false"/>
          <w:i w:val="false"/>
          <w:iCs w:val="false"/>
          <w:color w:val="auto"/>
          <w:sz w:val="20"/>
          <w:szCs w:val="20"/>
        </w:rPr>
        <w:t xml:space="preserve"> (in grams) and  abundance of studied arthropod guilds for each. </w:t>
      </w:r>
      <w:r>
        <w:rPr>
          <w:rFonts w:cs="Times New Roman" w:ascii="Times New Roman" w:hAnsi="Times New Roman"/>
          <w:b w:val="false"/>
          <w:bCs w:val="false"/>
          <w:i w:val="false"/>
          <w:iCs w:val="false"/>
          <w:color w:val="auto"/>
          <w:sz w:val="20"/>
          <w:szCs w:val="20"/>
        </w:rPr>
        <w:t>Seems like the upper limit of abundance is only limited by the availability of the plant biomass in a mass action fashion (linear relationship between total</w:t>
      </w:r>
      <w:r>
        <w:rPr>
          <w:rFonts w:cs="Times New Roman" w:ascii="Times New Roman" w:hAnsi="Times New Roman"/>
          <w:b/>
          <w:bCs/>
          <w:i w:val="false"/>
          <w:iCs w:val="false"/>
          <w:color w:val="auto"/>
          <w:sz w:val="20"/>
          <w:szCs w:val="20"/>
        </w:rPr>
        <w:t xml:space="preserve"> plant biomass and herbivore abundance/biomass</w:t>
      </w:r>
      <w:r>
        <w:rPr>
          <w:rFonts w:cs="Times New Roman" w:ascii="Times New Roman" w:hAnsi="Times New Roman"/>
          <w:b w:val="false"/>
          <w:bCs w:val="false"/>
          <w:i w:val="false"/>
          <w:iCs w:val="false"/>
          <w:color w:val="auto"/>
          <w:sz w:val="20"/>
          <w:szCs w:val="20"/>
        </w:rPr>
        <w:t xml:space="preserve"> was qualitatively the same). Points represent individual plants, their biomass and arthropod communities.</w:t>
      </w:r>
      <w:r>
        <w:rPr/>
        <w:commentReference w:id="0"/>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jc w:val="both"/>
        <w:rPr>
          <w:rFonts w:ascii="Times New Roman" w:hAnsi="Times New Roman"/>
          <w:b/>
          <w:b/>
          <w:bCs/>
          <w:i w:val="false"/>
          <w:i w:val="false"/>
          <w:iCs w:val="false"/>
          <w:color w:val="auto"/>
        </w:rPr>
      </w:pPr>
      <w:r>
        <w:rPr>
          <w:rFonts w:ascii="Times New Roman" w:hAnsi="Times New Roman"/>
          <w:b/>
          <w:bCs/>
          <w:i w:val="false"/>
          <w:iCs w:val="false"/>
          <w:color w:val="auto"/>
        </w:rPr>
        <w:drawing>
          <wp:anchor behindDoc="0" distT="0" distB="0" distL="0" distR="0" simplePos="0" locked="0" layoutInCell="1" allowOverlap="1" relativeHeight="2">
            <wp:simplePos x="0" y="0"/>
            <wp:positionH relativeFrom="column">
              <wp:posOffset>100965</wp:posOffset>
            </wp:positionH>
            <wp:positionV relativeFrom="paragraph">
              <wp:posOffset>52705</wp:posOffset>
            </wp:positionV>
            <wp:extent cx="3462020" cy="2527300"/>
            <wp:effectExtent l="0" t="0" r="0" b="0"/>
            <wp:wrapTopAndBottom/>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3462020" cy="2527300"/>
                    </a:xfrm>
                    <a:prstGeom prst="rect">
                      <a:avLst/>
                    </a:prstGeom>
                  </pic:spPr>
                </pic:pic>
              </a:graphicData>
            </a:graphic>
          </wp:anchor>
        </w:drawing>
      </w:r>
    </w:p>
    <w:p>
      <w:pPr>
        <w:pStyle w:val="Normal"/>
        <w:jc w:val="both"/>
        <w:rPr>
          <w:rFonts w:ascii="Times New Roman" w:hAnsi="Times New Roman"/>
          <w:b/>
          <w:b/>
          <w:bCs/>
          <w:i w:val="false"/>
          <w:i w:val="false"/>
          <w:iCs w:val="false"/>
          <w:color w:val="auto"/>
        </w:rPr>
      </w:pPr>
      <w:r>
        <w:rPr>
          <w:rFonts w:ascii="Times New Roman" w:hAnsi="Times New Roman"/>
          <w:b/>
          <w:bCs/>
          <w:i w:val="false"/>
          <w:iCs w:val="false"/>
          <w:color w:val="auto"/>
        </w:rPr>
      </w:r>
    </w:p>
    <w:p>
      <w:pPr>
        <w:pStyle w:val="Normal"/>
        <w:rPr>
          <w:rFonts w:ascii="Times New Roman" w:hAnsi="Times New Roman"/>
          <w:b w:val="false"/>
          <w:b w:val="false"/>
          <w:bCs w:val="false"/>
          <w:i w:val="false"/>
          <w:i w:val="false"/>
          <w:iCs w:val="false"/>
          <w:color w:val="auto"/>
        </w:rPr>
      </w:pPr>
      <w:r>
        <w:rPr>
          <w:rFonts w:ascii="Times New Roman" w:hAnsi="Times New Roman"/>
          <w:b w:val="false"/>
          <w:bCs w:val="false"/>
          <w:i w:val="false"/>
          <w:iCs w:val="false"/>
          <w:color w:val="auto"/>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S2</w:t>
      </w:r>
      <w:r>
        <w:rPr>
          <w:rFonts w:ascii="Times New Roman" w:hAnsi="Times New Roman"/>
          <w:b w:val="false"/>
          <w:bCs w:val="false"/>
          <w:i w:val="false"/>
          <w:iCs w:val="false"/>
          <w:color w:val="auto"/>
          <w:sz w:val="20"/>
          <w:szCs w:val="20"/>
        </w:rPr>
        <w:t>. [</w:t>
      </w:r>
      <w:r>
        <w:rPr>
          <w:rFonts w:ascii="Times New Roman" w:hAnsi="Times New Roman"/>
          <w:b/>
          <w:bCs/>
          <w:i w:val="false"/>
          <w:iCs w:val="false"/>
          <w:color w:val="auto"/>
          <w:sz w:val="20"/>
          <w:szCs w:val="20"/>
        </w:rPr>
        <w:t>Add diversity and richness for each order, I could also provide comparisons between effects on abundance and biomass within each order, this would show us in which groups effects on biomass were stronger than on abundnce, maybe also evaluate correlation between biomass and abundance log ratios]</w:t>
      </w:r>
      <w:r>
        <w:rPr>
          <w:rFonts w:ascii="Times New Roman" w:hAnsi="Times New Roman"/>
          <w:b w:val="false"/>
          <w:bCs w:val="false"/>
          <w:i w:val="false"/>
          <w:iCs w:val="false"/>
          <w:color w:val="auto"/>
          <w:sz w:val="20"/>
          <w:szCs w:val="20"/>
        </w:rPr>
        <w:t xml:space="preserve">. </w:t>
      </w:r>
      <w:r>
        <w:rPr>
          <w:rFonts w:cs="Times New Roman" w:ascii="Times New Roman" w:hAnsi="Times New Roman"/>
          <w:b w:val="false"/>
          <w:bCs w:val="false"/>
          <w:i w:val="false"/>
          <w:iCs w:val="false"/>
          <w:color w:val="auto"/>
          <w:sz w:val="20"/>
          <w:szCs w:val="20"/>
        </w:rPr>
        <w:t>Log ratio of sampled insect orders in control and exclosure treatments. Mean and 95% bootstrapped CIs are present. No statistical difference from 0 was found for no order and biomass vs abundance. [biomass_abundance_comparisons.R]</w:t>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spacing w:lineRule="auto" w:line="240" w:before="0" w:after="29"/>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0" w:after="29"/>
        <w:ind w:left="0" w:right="0" w:hanging="0"/>
        <w:jc w:val="both"/>
        <w:rPr>
          <w:rFonts w:ascii="Times New Roman" w:hAnsi="Times New Roman"/>
        </w:rPr>
      </w:pPr>
      <w:r>
        <w:rPr>
          <w:rFonts w:ascii="Times New Roman" w:hAnsi="Times New Roman"/>
        </w:rPr>
        <w:drawing>
          <wp:anchor behindDoc="0" distT="0" distB="0" distL="0" distR="0" simplePos="0" locked="0" layoutInCell="1" allowOverlap="1" relativeHeight="9">
            <wp:simplePos x="0" y="0"/>
            <wp:positionH relativeFrom="column">
              <wp:posOffset>747395</wp:posOffset>
            </wp:positionH>
            <wp:positionV relativeFrom="paragraph">
              <wp:posOffset>176530</wp:posOffset>
            </wp:positionV>
            <wp:extent cx="4745990" cy="5386705"/>
            <wp:effectExtent l="0" t="0" r="0" b="0"/>
            <wp:wrapTopAndBottom/>
            <wp:docPr id="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 descr=""/>
                    <pic:cNvPicPr>
                      <a:picLocks noChangeAspect="1" noChangeArrowheads="1"/>
                    </pic:cNvPicPr>
                  </pic:nvPicPr>
                  <pic:blipFill>
                    <a:blip r:embed="rId4"/>
                    <a:stretch>
                      <a:fillRect/>
                    </a:stretch>
                  </pic:blipFill>
                  <pic:spPr bwMode="auto">
                    <a:xfrm>
                      <a:off x="0" y="0"/>
                      <a:ext cx="4745990" cy="5386705"/>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Figure S3.</w:t>
      </w:r>
      <w:r>
        <w:rPr>
          <w:rFonts w:cs="Times New Roman" w:ascii="Times New Roman" w:hAnsi="Times New Roman"/>
          <w:b w:val="false"/>
          <w:bCs w:val="false"/>
          <w:i w:val="false"/>
          <w:iCs w:val="false"/>
          <w:color w:val="auto"/>
          <w:sz w:val="20"/>
          <w:szCs w:val="20"/>
        </w:rPr>
        <w:t xml:space="preserve"> Species size distributions for studied insect orders in control and exclosure plots Wilcoxon Test. [I have finally settled on </w:t>
      </w:r>
      <w:r>
        <w:rPr>
          <w:rFonts w:cs="Times New Roman" w:ascii="Times New Roman" w:hAnsi="Times New Roman"/>
          <w:b/>
          <w:bCs/>
          <w:i/>
          <w:iCs/>
          <w:color w:val="auto"/>
          <w:sz w:val="20"/>
          <w:szCs w:val="20"/>
        </w:rPr>
        <w:t>species</w:t>
      </w:r>
      <w:r>
        <w:rPr>
          <w:rFonts w:cs="Times New Roman" w:ascii="Times New Roman" w:hAnsi="Times New Roman"/>
          <w:b w:val="false"/>
          <w:bCs w:val="false"/>
          <w:i w:val="false"/>
          <w:iCs w:val="false"/>
          <w:color w:val="auto"/>
          <w:sz w:val="20"/>
          <w:szCs w:val="20"/>
        </w:rPr>
        <w:t xml:space="preserve"> - and not </w:t>
      </w:r>
      <w:r>
        <w:rPr>
          <w:rFonts w:cs="Times New Roman" w:ascii="Times New Roman" w:hAnsi="Times New Roman"/>
          <w:b/>
          <w:bCs/>
          <w:i/>
          <w:iCs/>
          <w:color w:val="auto"/>
          <w:sz w:val="20"/>
          <w:szCs w:val="20"/>
        </w:rPr>
        <w:t>individuals - size</w:t>
      </w:r>
      <w:r>
        <w:rPr>
          <w:rFonts w:cs="Times New Roman" w:ascii="Times New Roman" w:hAnsi="Times New Roman"/>
          <w:b w:val="false"/>
          <w:bCs w:val="false"/>
          <w:i w:val="false"/>
          <w:iCs w:val="false"/>
          <w:color w:val="auto"/>
          <w:sz w:val="20"/>
          <w:szCs w:val="20"/>
        </w:rPr>
        <w:t xml:space="preserve"> </w:t>
      </w:r>
      <w:r>
        <w:rPr>
          <w:rFonts w:cs="Times New Roman" w:ascii="Times New Roman" w:hAnsi="Times New Roman"/>
          <w:b/>
          <w:bCs/>
          <w:i/>
          <w:iCs/>
          <w:color w:val="auto"/>
          <w:sz w:val="20"/>
          <w:szCs w:val="20"/>
        </w:rPr>
        <w:t>distributions</w:t>
      </w:r>
      <w:r>
        <w:rPr>
          <w:rFonts w:cs="Times New Roman" w:ascii="Times New Roman" w:hAnsi="Times New Roman"/>
          <w:b w:val="false"/>
          <w:bCs w:val="false"/>
          <w:i w:val="false"/>
          <w:iCs w:val="false"/>
          <w:color w:val="auto"/>
          <w:sz w:val="20"/>
          <w:szCs w:val="20"/>
        </w:rPr>
        <w:t>. Firstly because of problematic character of this data for analysis i.e. multi-modal distributions and data somewhat artificially duplicated (I didn’t have estimates of size for each individual but instead I used average size over up to 20 randomly chosen individuals from a given morpho-species). Secondly because individual based distribution might be strongly dependent on general abundance of herbivores within a given plot. Nevertheless I did perform some tests and because of non-normality I used Mann-Whitney’s test to compare distributions. For size distributions based on individuals non-parametric tests resulted in significant differences in all insect orders (with different directions  of these changes) – this is also interesting because it shows that size of the prey was affected, unfortunately it is difficult to evaluate magnitude of this change in non-parametric signed rank tests. Using power analysis I could provide maximum shift for each herbivore order that would be undetected by our comparisons in Fig. S1. I.e. perform power analysis to estimate how big of a change in biomass can we detect with given sample sizes and then compare that to detected changes in herbivore community But it might not be worth a shot.</w:t>
      </w:r>
    </w:p>
    <w:p>
      <w:pPr>
        <w:pStyle w:val="Normal"/>
        <w:rPr>
          <w:rFonts w:ascii="Times New Roman" w:hAnsi="Times New Roman"/>
          <w:b w:val="false"/>
          <w:b w:val="false"/>
          <w:bCs w:val="false"/>
          <w:i w:val="false"/>
          <w:i w:val="false"/>
          <w:iCs w:val="false"/>
          <w:color w:val="auto"/>
        </w:rPr>
      </w:pPr>
      <w:r>
        <w:rPr>
          <w:rFonts w:ascii="Times New Roman" w:hAnsi="Times New Roman"/>
          <w:b w:val="false"/>
          <w:bCs w:val="false"/>
          <w:i w:val="false"/>
          <w:iCs w:val="false"/>
          <w:color w:val="auto"/>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spacing w:lineRule="auto" w:line="240" w:before="0" w:after="29"/>
        <w:ind w:left="0" w:right="0" w:hanging="0"/>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Table S1</w:t>
      </w:r>
      <w:r>
        <w:rPr>
          <w:rFonts w:ascii="Times New Roman" w:hAnsi="Times New Roman"/>
          <w:b w:val="false"/>
          <w:bCs w:val="false"/>
          <w:i w:val="false"/>
          <w:iCs w:val="false"/>
          <w:color w:val="auto"/>
          <w:sz w:val="20"/>
          <w:szCs w:val="20"/>
        </w:rPr>
        <w:t xml:space="preserve">. Results of Wilcoxon tests comparing body sizes of control and exclosure plots for all possible combinations of insect order and plant species </w:t>
      </w:r>
      <w:r>
        <w:rPr>
          <w:rFonts w:ascii="Times New Roman" w:hAnsi="Times New Roman"/>
          <w:b/>
          <w:bCs/>
          <w:i w:val="false"/>
          <w:iCs w:val="false"/>
          <w:color w:val="auto"/>
          <w:sz w:val="20"/>
          <w:szCs w:val="20"/>
        </w:rPr>
        <w:t>[add whether average decreased of increased]</w:t>
      </w:r>
      <w:r>
        <w:rPr>
          <w:rFonts w:ascii="Times New Roman" w:hAnsi="Times New Roman"/>
          <w:b w:val="false"/>
          <w:bCs w:val="false"/>
          <w:i w:val="false"/>
          <w:iCs w:val="false"/>
          <w:color w:val="auto"/>
          <w:sz w:val="20"/>
          <w:szCs w:val="20"/>
        </w:rPr>
        <w:t>.</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PreformattedText"/>
        <w:rPr>
          <w:rFonts w:ascii="Times New Roman" w:hAnsi="Times New Roman"/>
          <w:b w:val="false"/>
          <w:b w:val="false"/>
          <w:bCs w:val="false"/>
          <w:i w:val="false"/>
          <w:i w:val="false"/>
          <w:iCs w:val="false"/>
          <w:color w:val="auto"/>
          <w:sz w:val="20"/>
          <w:szCs w:val="20"/>
        </w:rPr>
      </w:pPr>
      <w:bookmarkStart w:id="0" w:name="rstudio_console_output"/>
      <w:bookmarkEnd w:id="0"/>
      <w:r>
        <w:rPr>
          <w:rFonts w:ascii="Times New Roman" w:hAnsi="Times New Roman"/>
          <w:b w:val="false"/>
          <w:bCs w:val="false"/>
          <w:i w:val="false"/>
          <w:iCs w:val="false"/>
          <w:color w:val="auto"/>
          <w:sz w:val="20"/>
          <w:szCs w:val="20"/>
        </w:rPr>
        <w:t xml:space="preserve"> </w:t>
      </w:r>
    </w:p>
    <w:tbl>
      <w:tblPr>
        <w:tblW w:w="5133" w:type="dxa"/>
        <w:jc w:val="left"/>
        <w:tblInd w:w="0" w:type="dxa"/>
        <w:tblBorders/>
        <w:tblCellMar>
          <w:top w:w="0" w:type="dxa"/>
          <w:left w:w="0" w:type="dxa"/>
          <w:bottom w:w="0" w:type="dxa"/>
          <w:right w:w="0" w:type="dxa"/>
        </w:tblCellMar>
      </w:tblPr>
      <w:tblGrid>
        <w:gridCol w:w="982"/>
        <w:gridCol w:w="1085"/>
        <w:gridCol w:w="900"/>
        <w:gridCol w:w="633"/>
        <w:gridCol w:w="1533"/>
      </w:tblGrid>
      <w:tr>
        <w:trPr>
          <w:tblHeader w:val="true"/>
        </w:trPr>
        <w:tc>
          <w:tcPr>
            <w:tcW w:w="982"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Order</w:t>
            </w:r>
          </w:p>
        </w:tc>
        <w:tc>
          <w:tcPr>
            <w:tcW w:w="1085"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Plant</w:t>
            </w:r>
          </w:p>
        </w:tc>
        <w:tc>
          <w:tcPr>
            <w:tcW w:w="900"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W</w:t>
            </w:r>
          </w:p>
        </w:tc>
        <w:tc>
          <w:tcPr>
            <w:tcW w:w="633"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N</w:t>
            </w:r>
          </w:p>
        </w:tc>
        <w:tc>
          <w:tcPr>
            <w:tcW w:w="1533" w:type="dxa"/>
            <w:tcBorders/>
            <w:shd w:fill="auto" w:val="clear"/>
          </w:tcPr>
          <w:p>
            <w:pPr>
              <w:pStyle w:val="PreformattedText"/>
              <w:jc w:val="center"/>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t>pval</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orth</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136.5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33</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0.409775691</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orth</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15.0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18</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0.246504693</w:t>
            </w:r>
          </w:p>
        </w:tc>
      </w:tr>
      <w:tr>
        <w:trPr/>
        <w:tc>
          <w:tcPr>
            <w:tcW w:w="982" w:type="dxa"/>
            <w:tcBorders/>
            <w:shd w:fill="auto" w:val="clear"/>
          </w:tcPr>
          <w:p>
            <w:pPr>
              <w:pStyle w:val="PreformattedText"/>
              <w:spacing w:before="0" w:after="0"/>
              <w:jc w:val="center"/>
              <w:rPr>
                <w:rFonts w:ascii="Times New Roman" w:hAnsi="Times New Roman"/>
                <w:i/>
                <w:i/>
                <w:iCs/>
                <w:sz w:val="20"/>
              </w:rPr>
            </w:pPr>
            <w:r>
              <w:rPr>
                <w:rFonts w:ascii="Times New Roman" w:hAnsi="Times New Roman"/>
                <w:i/>
                <w:iCs/>
                <w:sz w:val="20"/>
              </w:rPr>
              <w:t>orth</w:t>
            </w:r>
          </w:p>
        </w:tc>
        <w:tc>
          <w:tcPr>
            <w:tcW w:w="1085" w:type="dxa"/>
            <w:tcBorders/>
            <w:shd w:fill="auto" w:val="clear"/>
          </w:tcPr>
          <w:p>
            <w:pPr>
              <w:pStyle w:val="PreformattedText"/>
              <w:spacing w:before="0" w:after="0"/>
              <w:jc w:val="center"/>
              <w:rPr>
                <w:rFonts w:ascii="Times New Roman" w:hAnsi="Times New Roman"/>
                <w:i/>
                <w:i/>
                <w:iCs/>
                <w:sz w:val="20"/>
              </w:rPr>
            </w:pPr>
            <w:r>
              <w:rPr>
                <w:rFonts w:ascii="Times New Roman" w:hAnsi="Times New Roman"/>
                <w:i/>
                <w:iCs/>
                <w:sz w:val="20"/>
              </w:rPr>
              <w:t>melos1</w:t>
            </w:r>
          </w:p>
        </w:tc>
        <w:tc>
          <w:tcPr>
            <w:tcW w:w="900" w:type="dxa"/>
            <w:tcBorders/>
            <w:shd w:fill="auto" w:val="clear"/>
          </w:tcPr>
          <w:p>
            <w:pPr>
              <w:pStyle w:val="PreformattedText"/>
              <w:spacing w:before="0" w:after="0"/>
              <w:jc w:val="center"/>
              <w:rPr>
                <w:rFonts w:ascii="Times New Roman" w:hAnsi="Times New Roman"/>
                <w:i/>
                <w:i/>
                <w:iCs/>
                <w:sz w:val="20"/>
              </w:rPr>
            </w:pPr>
            <w:r>
              <w:rPr>
                <w:rFonts w:ascii="Times New Roman" w:hAnsi="Times New Roman"/>
                <w:i/>
                <w:iCs/>
                <w:sz w:val="20"/>
              </w:rPr>
              <w:t>35.0</w:t>
            </w:r>
          </w:p>
        </w:tc>
        <w:tc>
          <w:tcPr>
            <w:tcW w:w="633" w:type="dxa"/>
            <w:tcBorders/>
            <w:shd w:fill="auto" w:val="clear"/>
          </w:tcPr>
          <w:p>
            <w:pPr>
              <w:pStyle w:val="PreformattedText"/>
              <w:spacing w:before="0" w:after="0"/>
              <w:jc w:val="center"/>
              <w:rPr>
                <w:rFonts w:ascii="Times New Roman" w:hAnsi="Times New Roman"/>
                <w:i/>
                <w:i/>
                <w:iCs/>
                <w:sz w:val="20"/>
              </w:rPr>
            </w:pPr>
            <w:r>
              <w:rPr>
                <w:rFonts w:ascii="Times New Roman" w:hAnsi="Times New Roman"/>
                <w:i/>
                <w:iCs/>
                <w:sz w:val="20"/>
              </w:rPr>
              <w:t>13</w:t>
            </w:r>
          </w:p>
        </w:tc>
        <w:tc>
          <w:tcPr>
            <w:tcW w:w="1533" w:type="dxa"/>
            <w:tcBorders/>
            <w:shd w:fill="auto" w:val="clear"/>
          </w:tcPr>
          <w:p>
            <w:pPr>
              <w:pStyle w:val="PreformattedText"/>
              <w:spacing w:before="0" w:after="0"/>
              <w:jc w:val="center"/>
              <w:rPr>
                <w:rFonts w:ascii="Times New Roman" w:hAnsi="Times New Roman"/>
                <w:i/>
                <w:i/>
                <w:iCs/>
                <w:sz w:val="20"/>
              </w:rPr>
            </w:pPr>
            <w:r>
              <w:rPr>
                <w:rFonts w:ascii="Times New Roman" w:hAnsi="Times New Roman"/>
                <w:i/>
                <w:iCs/>
                <w:sz w:val="20"/>
              </w:rPr>
              <w:t>0.051282051</w:t>
            </w:r>
          </w:p>
        </w:tc>
      </w:tr>
      <w:tr>
        <w:trPr/>
        <w:tc>
          <w:tcPr>
            <w:tcW w:w="982"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aran</w:t>
            </w:r>
          </w:p>
        </w:tc>
        <w:tc>
          <w:tcPr>
            <w:tcW w:w="1085"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piptar</w:t>
            </w:r>
          </w:p>
        </w:tc>
        <w:tc>
          <w:tcPr>
            <w:tcW w:w="900"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2281.5</w:t>
            </w:r>
          </w:p>
        </w:tc>
        <w:tc>
          <w:tcPr>
            <w:tcW w:w="6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124</w:t>
            </w:r>
          </w:p>
        </w:tc>
        <w:tc>
          <w:tcPr>
            <w:tcW w:w="15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0.008866179</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aran</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400.5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54</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0.342153682</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aran</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201.0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48</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0.789721088</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aran</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breyce</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11.0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12</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0.294551629</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aran</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77.0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27</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0.603975950</w:t>
            </w:r>
          </w:p>
        </w:tc>
      </w:tr>
      <w:tr>
        <w:trPr/>
        <w:tc>
          <w:tcPr>
            <w:tcW w:w="982"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aran</w:t>
            </w:r>
          </w:p>
        </w:tc>
        <w:tc>
          <w:tcPr>
            <w:tcW w:w="1085"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melos1</w:t>
            </w:r>
          </w:p>
        </w:tc>
        <w:tc>
          <w:tcPr>
            <w:tcW w:w="900"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123.5</w:t>
            </w:r>
          </w:p>
        </w:tc>
        <w:tc>
          <w:tcPr>
            <w:tcW w:w="6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40</w:t>
            </w:r>
          </w:p>
        </w:tc>
        <w:tc>
          <w:tcPr>
            <w:tcW w:w="15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0.021471960</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homo</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23.5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13</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0.771400399</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homo</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4</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1.000000000</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homo</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4.5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7</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1.000000000</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homo</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63.5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22</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0.760895370</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homo</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3.5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6</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0.766432716</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hemi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467.0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66</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0.551552283</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hemi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prems1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4</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0.500000000</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hemi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148.0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33</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0.420145955</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hemi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8</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0.826238366</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hemi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13.0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11</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0.921212121</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hemi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19</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0.387459937</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mant</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24.0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15</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0.759795195</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mant</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26.5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14</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0.794703141</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cole</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prems1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7.0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0.334408999</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cole</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piptar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1163.5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96</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0.184662407</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cole</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breyce</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5</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1.000000000</w:t>
            </w:r>
          </w:p>
        </w:tc>
      </w:tr>
      <w:tr>
        <w:trPr/>
        <w:tc>
          <w:tcPr>
            <w:tcW w:w="982"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cole</w:t>
            </w:r>
          </w:p>
        </w:tc>
        <w:tc>
          <w:tcPr>
            <w:tcW w:w="1085"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melamu</w:t>
            </w:r>
          </w:p>
        </w:tc>
        <w:tc>
          <w:tcPr>
            <w:tcW w:w="900"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88.5</w:t>
            </w:r>
          </w:p>
        </w:tc>
        <w:tc>
          <w:tcPr>
            <w:tcW w:w="6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43</w:t>
            </w:r>
          </w:p>
        </w:tc>
        <w:tc>
          <w:tcPr>
            <w:tcW w:w="15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0.011557528</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cole</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71.0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26</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0.722338992</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cole</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18.5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26</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0.241432076</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lepi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prems1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3</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1.000000000</w:t>
            </w:r>
          </w:p>
        </w:tc>
      </w:tr>
      <w:tr>
        <w:trPr/>
        <w:tc>
          <w:tcPr>
            <w:tcW w:w="982"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lepi</w:t>
            </w:r>
          </w:p>
        </w:tc>
        <w:tc>
          <w:tcPr>
            <w:tcW w:w="1085"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piptar</w:t>
            </w:r>
          </w:p>
        </w:tc>
        <w:tc>
          <w:tcPr>
            <w:tcW w:w="900"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434.5</w:t>
            </w:r>
          </w:p>
        </w:tc>
        <w:tc>
          <w:tcPr>
            <w:tcW w:w="6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59</w:t>
            </w:r>
          </w:p>
        </w:tc>
        <w:tc>
          <w:tcPr>
            <w:tcW w:w="1533" w:type="dxa"/>
            <w:tcBorders/>
            <w:shd w:fill="auto" w:val="clear"/>
          </w:tcPr>
          <w:p>
            <w:pPr>
              <w:pStyle w:val="PreformattedText"/>
              <w:spacing w:before="0" w:after="0"/>
              <w:jc w:val="center"/>
              <w:rPr>
                <w:rFonts w:ascii="Times New Roman" w:hAnsi="Times New Roman"/>
                <w:b/>
                <w:b/>
                <w:bCs/>
                <w:sz w:val="20"/>
              </w:rPr>
            </w:pPr>
            <w:r>
              <w:rPr>
                <w:rFonts w:ascii="Times New Roman" w:hAnsi="Times New Roman"/>
                <w:b/>
                <w:bCs/>
                <w:sz w:val="20"/>
              </w:rPr>
              <w:t>0.033800433</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lepi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breyce</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6.0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7</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0.840730447</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lepi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melamu</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3.5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6</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0.766432716</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lepi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tremor</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148.5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37</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0.503148899</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lepi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tricpl</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21.0</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14</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0.893697261</w:t>
            </w:r>
          </w:p>
        </w:tc>
      </w:tr>
      <w:tr>
        <w:trPr/>
        <w:tc>
          <w:tcPr>
            <w:tcW w:w="982"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lepi</w:t>
            </w:r>
          </w:p>
        </w:tc>
        <w:tc>
          <w:tcPr>
            <w:tcW w:w="1085"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melos1</w:t>
            </w:r>
          </w:p>
        </w:tc>
        <w:tc>
          <w:tcPr>
            <w:tcW w:w="900"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20.5</w:t>
            </w:r>
          </w:p>
        </w:tc>
        <w:tc>
          <w:tcPr>
            <w:tcW w:w="6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17</w:t>
            </w:r>
          </w:p>
        </w:tc>
        <w:tc>
          <w:tcPr>
            <w:tcW w:w="1533" w:type="dxa"/>
            <w:tcBorders/>
            <w:shd w:fill="auto" w:val="clear"/>
          </w:tcPr>
          <w:p>
            <w:pPr>
              <w:pStyle w:val="PreformattedText"/>
              <w:spacing w:before="0" w:after="0"/>
              <w:jc w:val="center"/>
              <w:rPr>
                <w:rFonts w:ascii="Times New Roman" w:hAnsi="Times New Roman"/>
                <w:sz w:val="20"/>
              </w:rPr>
            </w:pPr>
            <w:r>
              <w:rPr>
                <w:rFonts w:ascii="Times New Roman" w:hAnsi="Times New Roman"/>
                <w:sz w:val="20"/>
              </w:rPr>
              <w:t>1.000000000</w:t>
            </w:r>
          </w:p>
        </w:tc>
      </w:tr>
    </w:tbl>
    <w:p>
      <w:pPr>
        <w:pStyle w:val="Normal"/>
        <w:jc w:val="both"/>
        <w:rPr>
          <w:rFonts w:ascii="Times New Roman" w:hAnsi="Times New Roman"/>
          <w:b/>
          <w:b/>
          <w:bCs/>
          <w:i w:val="false"/>
          <w:i w:val="false"/>
          <w:iCs w:val="false"/>
          <w:color w:val="auto"/>
          <w:sz w:val="20"/>
          <w:szCs w:val="20"/>
        </w:rPr>
      </w:pPr>
      <w:r>
        <w:rPr>
          <w:rFonts w:ascii="Times New Roman" w:hAnsi="Times New Roman"/>
          <w:b/>
          <w:bCs/>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drawing>
          <wp:anchor behindDoc="0" distT="0" distB="0" distL="0" distR="0" simplePos="0" locked="0" layoutInCell="1" allowOverlap="1" relativeHeight="10">
            <wp:simplePos x="0" y="0"/>
            <wp:positionH relativeFrom="column">
              <wp:posOffset>688975</wp:posOffset>
            </wp:positionH>
            <wp:positionV relativeFrom="paragraph">
              <wp:posOffset>88265</wp:posOffset>
            </wp:positionV>
            <wp:extent cx="5372735" cy="3237865"/>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5372735" cy="3237865"/>
                    </a:xfrm>
                    <a:prstGeom prst="rect">
                      <a:avLst/>
                    </a:prstGeom>
                  </pic:spPr>
                </pic:pic>
              </a:graphicData>
            </a:graphic>
          </wp:anchor>
        </w:drawing>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Figure S4.</w:t>
      </w:r>
      <w:r>
        <w:rPr>
          <w:rFonts w:cs="Times New Roman" w:ascii="Times New Roman" w:hAnsi="Times New Roman"/>
          <w:b w:val="false"/>
          <w:bCs w:val="false"/>
          <w:i w:val="false"/>
          <w:iCs w:val="false"/>
          <w:color w:val="auto"/>
          <w:sz w:val="20"/>
          <w:szCs w:val="20"/>
          <w:u w:val="none"/>
        </w:rPr>
        <w:t xml:space="preserve"> Correlation based on arthropod biomass [bio_log_ratio.R]</w:t>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drawing>
          <wp:anchor behindDoc="0" distT="0" distB="0" distL="0" distR="0" simplePos="0" locked="0" layoutInCell="1" allowOverlap="1" relativeHeight="11">
            <wp:simplePos x="0" y="0"/>
            <wp:positionH relativeFrom="column">
              <wp:posOffset>821690</wp:posOffset>
            </wp:positionH>
            <wp:positionV relativeFrom="paragraph">
              <wp:posOffset>72390</wp:posOffset>
            </wp:positionV>
            <wp:extent cx="3950335" cy="377761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950335" cy="3777615"/>
                    </a:xfrm>
                    <a:prstGeom prst="rect">
                      <a:avLst/>
                    </a:prstGeom>
                  </pic:spPr>
                </pic:pic>
              </a:graphicData>
            </a:graphic>
          </wp:anchor>
        </w:drawing>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bCs/>
          <w:color w:val="auto"/>
          <w:sz w:val="20"/>
          <w:szCs w:val="20"/>
        </w:rPr>
        <w:t>Figure S5</w:t>
      </w:r>
      <w:r>
        <w:rPr>
          <w:rFonts w:cs="Times New Roman" w:ascii="Times New Roman" w:hAnsi="Times New Roman"/>
          <w:b w:val="false"/>
          <w:bCs w:val="false"/>
          <w:color w:val="auto"/>
          <w:sz w:val="20"/>
          <w:szCs w:val="20"/>
        </w:rPr>
        <w:t xml:space="preserve">. Pairwise correlation of log rsponse ratios between different insect orders. Significance is indicated by asterisks: p = 0.001 (***); p = 0.01 (**); p = 0.05 (*). [bio_log_ratio.R]. A Correlation between log ratio changes. B: Correlations between comparisons of abundance (top) and biomass (bottom) of various insect orders in control (left) and excolsure (right) plots. </w:t>
      </w:r>
    </w:p>
    <w:p>
      <w:pPr>
        <w:pStyle w:val="Normal"/>
        <w:rPr>
          <w:rFonts w:ascii="Times New Roman" w:hAnsi="Times New Roman"/>
          <w:b w:val="false"/>
          <w:b w:val="false"/>
          <w:bCs w:val="false"/>
          <w:i w:val="false"/>
          <w:i w:val="false"/>
          <w:iCs w:val="false"/>
          <w:color w:val="auto"/>
          <w:sz w:val="20"/>
          <w:szCs w:val="20"/>
        </w:rPr>
      </w:pPr>
      <w:r>
        <w:rPr/>
        <w:commentReference w:id="1"/>
      </w:r>
    </w:p>
    <w:p>
      <w:pPr>
        <w:pStyle w:val="Normal"/>
        <w:rPr>
          <w:rFonts w:ascii="Times New Roman" w:hAnsi="Times New Roman"/>
        </w:rPr>
      </w:pPr>
      <w:r>
        <w:rPr>
          <w:rFonts w:ascii="Times New Roman" w:hAnsi="Times New Roman"/>
        </w:rPr>
      </w:r>
    </w:p>
    <w:p>
      <w:pPr>
        <w:pStyle w:val="Normal"/>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drawing>
          <wp:anchor behindDoc="0" distT="0" distB="0" distL="0" distR="0" simplePos="0" locked="0" layoutInCell="1" allowOverlap="1" relativeHeight="4">
            <wp:simplePos x="0" y="0"/>
            <wp:positionH relativeFrom="column">
              <wp:posOffset>1242060</wp:posOffset>
            </wp:positionH>
            <wp:positionV relativeFrom="paragraph">
              <wp:posOffset>103505</wp:posOffset>
            </wp:positionV>
            <wp:extent cx="4164965" cy="3773170"/>
            <wp:effectExtent l="0" t="0" r="0" b="0"/>
            <wp:wrapTopAndBottom/>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4164965" cy="3773170"/>
                    </a:xfrm>
                    <a:prstGeom prst="rect">
                      <a:avLst/>
                    </a:prstGeom>
                  </pic:spPr>
                </pic:pic>
              </a:graphicData>
            </a:graphic>
          </wp:anchor>
        </w:drawing>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bCs/>
          <w:i w:val="false"/>
          <w:iCs w:val="false"/>
          <w:color w:val="auto"/>
          <w:sz w:val="20"/>
          <w:szCs w:val="20"/>
        </w:rPr>
        <w:t>Figure S6</w:t>
      </w:r>
      <w:r>
        <w:rPr>
          <w:rFonts w:cs="Times New Roman" w:ascii="Times New Roman" w:hAnsi="Times New Roman"/>
          <w:b w:val="false"/>
          <w:bCs w:val="false"/>
          <w:i w:val="false"/>
          <w:iCs w:val="false"/>
          <w:color w:val="auto"/>
          <w:sz w:val="20"/>
          <w:szCs w:val="20"/>
        </w:rPr>
        <w:t>. Abundance and biomass correlation plots for studied arthropod groups. Barrage indicates non-significant correlations. Correlations were calculated for abundance (A,B) and biomass (C,D) for both control (A,C) and exclosure (B,D) plots. [correlation_cp.R]</w:t>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cs="Times New Roman"/>
          <w:b w:val="false"/>
          <w:b w:val="false"/>
          <w:bCs w:val="false"/>
          <w:color w:val="auto"/>
          <w:sz w:val="20"/>
          <w:szCs w:val="20"/>
        </w:rPr>
      </w:pPr>
      <w:r>
        <w:rPr>
          <w:rFonts w:cs="Times New Roman" w:ascii="Times New Roman" w:hAnsi="Times New Roman"/>
          <w:b w:val="false"/>
          <w:b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12">
            <wp:simplePos x="0" y="0"/>
            <wp:positionH relativeFrom="column">
              <wp:posOffset>278130</wp:posOffset>
            </wp:positionH>
            <wp:positionV relativeFrom="paragraph">
              <wp:posOffset>113030</wp:posOffset>
            </wp:positionV>
            <wp:extent cx="2676525" cy="2334895"/>
            <wp:effectExtent l="0" t="0" r="0" b="0"/>
            <wp:wrapTopAndBottom/>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2676525" cy="2334895"/>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3138805</wp:posOffset>
            </wp:positionH>
            <wp:positionV relativeFrom="paragraph">
              <wp:posOffset>90170</wp:posOffset>
            </wp:positionV>
            <wp:extent cx="2639695" cy="2326640"/>
            <wp:effectExtent l="0" t="0" r="0" b="0"/>
            <wp:wrapTopAndBottom/>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tretch>
                      <a:fillRect/>
                    </a:stretch>
                  </pic:blipFill>
                  <pic:spPr bwMode="auto">
                    <a:xfrm>
                      <a:off x="0" y="0"/>
                      <a:ext cx="2639695" cy="2326640"/>
                    </a:xfrm>
                    <a:prstGeom prst="rect">
                      <a:avLst/>
                    </a:prstGeom>
                  </pic:spPr>
                </pic:pic>
              </a:graphicData>
            </a:graphic>
          </wp:anchor>
        </w:drawing>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rPr>
        <w:t>Figure S7</w:t>
      </w:r>
      <w:r>
        <w:rPr>
          <w:rFonts w:cs="Times New Roman" w:ascii="Times New Roman" w:hAnsi="Times New Roman"/>
          <w:b w:val="false"/>
          <w:bCs w:val="false"/>
          <w:i w:val="false"/>
          <w:iCs w:val="false"/>
          <w:color w:val="auto"/>
          <w:sz w:val="20"/>
          <w:szCs w:val="20"/>
        </w:rPr>
        <w:t>. Relationship between predator indirect effect on plants and AP/Herbivore ratio in the presence of vertebrate predators [bio_log_ratio.R] . Left: IAP to herbivore ratio and LRR at individual plots, Right) individual comparable plant species.(</w:t>
      </w:r>
      <w:r>
        <w:rPr>
          <w:rFonts w:cs="Times New Roman" w:ascii="Times New Roman" w:hAnsi="Times New Roman"/>
          <w:b/>
          <w:bCs/>
          <w:i w:val="false"/>
          <w:iCs w:val="false"/>
          <w:color w:val="auto"/>
          <w:sz w:val="20"/>
          <w:szCs w:val="20"/>
        </w:rPr>
        <w:t>non-significant!!</w:t>
      </w:r>
      <w:r>
        <w:rPr>
          <w:rFonts w:cs="Times New Roman" w:ascii="Times New Roman" w:hAnsi="Times New Roman"/>
          <w:b w:val="false"/>
          <w:bCs w:val="false"/>
          <w:i w:val="false"/>
          <w:iCs w:val="false"/>
          <w:color w:val="auto"/>
          <w:sz w:val="20"/>
          <w:szCs w:val="20"/>
        </w:rPr>
        <w:t>)</w:t>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u w:val="none"/>
        </w:rPr>
      </w:pPr>
      <w:r>
        <w:rPr>
          <w:rFonts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4"/>
          <w:szCs w:val="24"/>
          <w:u w:val="none"/>
        </w:rPr>
      </w:pPr>
      <w:r>
        <w:rPr>
          <w:rFonts w:cs="Times New Roman" w:ascii="Times New Roman" w:hAnsi="Times New Roman"/>
          <w:b w:val="false"/>
          <w:bCs w:val="false"/>
          <w:i w:val="false"/>
          <w:iCs w:val="false"/>
          <w:color w:val="auto"/>
          <w:sz w:val="24"/>
          <w:szCs w:val="24"/>
          <w:u w:val="none"/>
        </w:rPr>
        <w:drawing>
          <wp:anchor behindDoc="0" distT="0" distB="0" distL="0" distR="0" simplePos="0" locked="0" layoutInCell="1" allowOverlap="1" relativeHeight="14">
            <wp:simplePos x="0" y="0"/>
            <wp:positionH relativeFrom="column">
              <wp:posOffset>961390</wp:posOffset>
            </wp:positionH>
            <wp:positionV relativeFrom="paragraph">
              <wp:posOffset>106045</wp:posOffset>
            </wp:positionV>
            <wp:extent cx="4409440" cy="2745740"/>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tretch>
                      <a:fillRect/>
                    </a:stretch>
                  </pic:blipFill>
                  <pic:spPr bwMode="auto">
                    <a:xfrm>
                      <a:off x="0" y="0"/>
                      <a:ext cx="4409440" cy="2745740"/>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Figure S8.</w:t>
      </w:r>
      <w:r>
        <w:rPr>
          <w:rFonts w:cs="Times New Roman" w:ascii="Times New Roman" w:hAnsi="Times New Roman"/>
          <w:b w:val="false"/>
          <w:bCs w:val="false"/>
          <w:i w:val="false"/>
          <w:iCs w:val="false"/>
          <w:color w:val="auto"/>
          <w:sz w:val="20"/>
          <w:szCs w:val="20"/>
          <w:u w:val="none"/>
        </w:rPr>
        <w:t xml:space="preserve"> </w:t>
      </w:r>
      <w:r>
        <w:rPr/>
        <w:commentReference w:id="2"/>
      </w:r>
      <w:r>
        <w:rPr>
          <w:rFonts w:cs="Times New Roman" w:ascii="Times New Roman" w:hAnsi="Times New Roman"/>
          <w:b w:val="false"/>
          <w:bCs w:val="false"/>
          <w:i w:val="false"/>
          <w:iCs w:val="false"/>
          <w:color w:val="auto"/>
          <w:sz w:val="20"/>
          <w:szCs w:val="20"/>
          <w:u w:val="none"/>
        </w:rPr>
        <w:t xml:space="preserve">It shows NET zero difference [I think that I should remove singletones from this analysis as these species might pull averages closer to zero if there is many species only in one category either predator or control] Predator effects (species scores obtained in pRDA analysis) on different herbivore and IAPs orders. A) herbivores based on abundance, B) herbivores based on biomass (qualitatively similar to the abundance based results), C) IAPs based on abundance, D) IAPs based on biomass. Differences were evaluated using linear model with abundances used as weights for each species. Only species with abundances higher than 10 were included in the analysis. Red and gold color indicate significant and marginally significant (0.05&lt; alpha&lt; 0.1) difference from zero respectively. Letters indicate significance at the 0.05 level obtained from pairwise comparisons with Tukey correction </w:t>
      </w:r>
      <w:r>
        <w:rPr>
          <w:rFonts w:cs="Times New Roman" w:ascii="Times New Roman" w:hAnsi="Times New Roman"/>
          <w:b w:val="false"/>
          <w:bCs w:val="false"/>
          <w:i w:val="false"/>
          <w:iCs w:val="false"/>
          <w:color w:val="auto"/>
          <w:sz w:val="20"/>
          <w:szCs w:val="20"/>
          <w:u w:val="none"/>
        </w:rPr>
        <w:t>(no random effect here)</w:t>
      </w:r>
      <w:r>
        <w:rPr>
          <w:rFonts w:cs="Times New Roman" w:ascii="Times New Roman" w:hAnsi="Times New Roman"/>
          <w:b w:val="false"/>
          <w:bCs w:val="false"/>
          <w:i w:val="false"/>
          <w:iCs w:val="false"/>
          <w:color w:val="auto"/>
          <w:sz w:val="20"/>
          <w:szCs w:val="20"/>
          <w:u w:val="none"/>
        </w:rPr>
        <w:t xml:space="preserve"> [ordination_ms1.R]. </w:t>
      </w:r>
      <w:r>
        <w:rPr>
          <w:rFonts w:cs="Times New Roman" w:ascii="Times New Roman" w:hAnsi="Times New Roman"/>
          <w:b/>
          <w:bCs/>
          <w:i w:val="false"/>
          <w:iCs w:val="false"/>
          <w:color w:val="auto"/>
          <w:sz w:val="20"/>
          <w:szCs w:val="20"/>
          <w:u w:val="none"/>
        </w:rPr>
        <w:t>Figure S2.</w:t>
      </w:r>
      <w:r>
        <w:rPr>
          <w:rFonts w:cs="Times New Roman" w:ascii="Times New Roman" w:hAnsi="Times New Roman"/>
          <w:b w:val="false"/>
          <w:bCs w:val="false"/>
          <w:i w:val="false"/>
          <w:iCs w:val="false"/>
          <w:color w:val="auto"/>
          <w:sz w:val="20"/>
          <w:szCs w:val="20"/>
          <w:u w:val="none"/>
        </w:rPr>
        <w:t xml:space="preserve"> Ordination, RDA1 axis determines variability explained by the exclosure treatment.</w:t>
      </w:r>
    </w:p>
    <w:p>
      <w:pPr>
        <w:pStyle w:val="Normal"/>
        <w:rPr>
          <w:rFonts w:ascii="Times New Roman" w:hAnsi="Times New Roman"/>
          <w:b w:val="false"/>
          <w:b w:val="false"/>
          <w:bCs w:val="false"/>
          <w:i w:val="false"/>
          <w:i w:val="false"/>
          <w:iCs w:val="false"/>
          <w:color w:val="auto"/>
          <w:sz w:val="20"/>
          <w:szCs w:val="20"/>
          <w:u w:val="none"/>
        </w:rPr>
      </w:pPr>
      <w:r>
        <w:rPr>
          <w:rFonts w:ascii="Times New Roman" w:hAnsi="Times New Roman"/>
          <w:b w:val="false"/>
          <w:bCs w:val="false"/>
          <w:i w:val="false"/>
          <w:iCs w:val="false"/>
          <w:color w:val="auto"/>
          <w:sz w:val="20"/>
          <w:szCs w:val="20"/>
          <w:u w:val="none"/>
        </w:rPr>
      </w:r>
    </w:p>
    <w:p>
      <w:pPr>
        <w:pStyle w:val="Normal"/>
        <w:rPr>
          <w:rFonts w:ascii="Times New Roman" w:hAnsi="Times New Roman"/>
          <w:b w:val="false"/>
          <w:b w:val="false"/>
          <w:bCs w:val="false"/>
          <w:i w:val="false"/>
          <w:i w:val="false"/>
          <w:iCs w:val="false"/>
          <w:color w:val="auto"/>
          <w:sz w:val="20"/>
          <w:szCs w:val="20"/>
          <w:u w:val="none"/>
        </w:rPr>
      </w:pPr>
      <w:r>
        <w:rPr>
          <w:rFonts w:ascii="Times New Roman" w:hAnsi="Times New Roman"/>
          <w:b w:val="false"/>
          <w:bCs w:val="false"/>
          <w:i w:val="false"/>
          <w:iCs w:val="false"/>
          <w:color w:val="auto"/>
          <w:sz w:val="20"/>
          <w:szCs w:val="20"/>
          <w:u w:val="none"/>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854325" cy="3172460"/>
            <wp:effectExtent l="0" t="0" r="0" b="0"/>
            <wp:wrapTopAndBottom/>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tretch>
                      <a:fillRect/>
                    </a:stretch>
                  </pic:blipFill>
                  <pic:spPr bwMode="auto">
                    <a:xfrm>
                      <a:off x="0" y="0"/>
                      <a:ext cx="2854325" cy="3172460"/>
                    </a:xfrm>
                    <a:prstGeom prst="rect">
                      <a:avLst/>
                    </a:prstGeom>
                  </pic:spPr>
                </pic:pic>
              </a:graphicData>
            </a:graphic>
          </wp:anchor>
        </w:drawing>
      </w:r>
    </w:p>
    <w:p>
      <w:pPr>
        <w:pStyle w:val="Normal"/>
        <w:jc w:val="both"/>
        <w:rPr>
          <w:rFonts w:ascii="Times New Roman" w:hAnsi="Times New Roman"/>
          <w:b w:val="false"/>
          <w:b w:val="false"/>
          <w:bCs w:val="false"/>
          <w:i w:val="false"/>
          <w:i w:val="false"/>
          <w:iCs w:val="false"/>
          <w:color w:val="auto"/>
          <w:sz w:val="20"/>
          <w:szCs w:val="20"/>
        </w:rPr>
      </w:pPr>
      <w:r>
        <w:rPr>
          <w:rFonts w:cs="Times New Roman" w:ascii="Times New Roman" w:hAnsi="Times New Roman"/>
          <w:b/>
          <w:bCs/>
          <w:i w:val="false"/>
          <w:iCs w:val="false"/>
          <w:color w:val="auto"/>
          <w:sz w:val="20"/>
          <w:szCs w:val="20"/>
          <w:u w:val="none"/>
        </w:rPr>
        <w:t>Figure S9.</w:t>
      </w:r>
      <w:r>
        <w:rPr>
          <w:rFonts w:cs="Times New Roman" w:ascii="Times New Roman" w:hAnsi="Times New Roman"/>
          <w:b w:val="false"/>
          <w:bCs w:val="false"/>
          <w:i w:val="false"/>
          <w:iCs w:val="false"/>
          <w:color w:val="auto"/>
          <w:sz w:val="20"/>
          <w:szCs w:val="20"/>
          <w:u w:val="none"/>
        </w:rPr>
        <w:t xml:space="preserve"> LRR of individual species for studied</w:t>
      </w:r>
      <w:r>
        <w:rPr/>
        <w:commentReference w:id="3"/>
      </w:r>
      <w:r>
        <w:rPr>
          <w:rFonts w:cs="Times New Roman" w:ascii="Times New Roman" w:hAnsi="Times New Roman"/>
          <w:b w:val="false"/>
          <w:bCs w:val="false"/>
          <w:i w:val="false"/>
          <w:iCs w:val="false"/>
          <w:color w:val="auto"/>
          <w:sz w:val="20"/>
          <w:szCs w:val="20"/>
          <w:u w:val="none"/>
        </w:rPr>
        <w:t xml:space="preserve"> arthropod orders. Nothing significantly different from 0 nor there were no differences between orders [plant_species_logratio.R].</w:t>
      </w:r>
      <w:r>
        <w:rPr/>
        <w:commentReference w:id="4"/>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3">
            <wp:simplePos x="0" y="0"/>
            <wp:positionH relativeFrom="column">
              <wp:posOffset>1234440</wp:posOffset>
            </wp:positionH>
            <wp:positionV relativeFrom="paragraph">
              <wp:posOffset>-88900</wp:posOffset>
            </wp:positionV>
            <wp:extent cx="4457065" cy="4476115"/>
            <wp:effectExtent l="0" t="0" r="0" b="0"/>
            <wp:wrapTopAndBottom/>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4457065" cy="4476115"/>
                    </a:xfrm>
                    <a:prstGeom prst="rect">
                      <a:avLst/>
                    </a:prstGeom>
                  </pic:spPr>
                </pic:pic>
              </a:graphicData>
            </a:graphic>
          </wp:anchor>
        </w:drawing>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S10</w:t>
      </w:r>
      <w:r>
        <w:rPr>
          <w:rFonts w:ascii="Times New Roman" w:hAnsi="Times New Roman"/>
          <w:b w:val="false"/>
          <w:bCs w:val="false"/>
          <w:i w:val="false"/>
          <w:iCs w:val="false"/>
          <w:color w:val="auto"/>
          <w:sz w:val="20"/>
          <w:szCs w:val="20"/>
        </w:rPr>
        <w:t xml:space="preserve">. Interaction between order and plant species. </w:t>
      </w:r>
      <w:r>
        <w:rPr>
          <w:rFonts w:ascii="Times New Roman" w:hAnsi="Times New Roman"/>
          <w:b/>
          <w:bCs/>
          <w:i w:val="false"/>
          <w:iCs w:val="false"/>
          <w:color w:val="auto"/>
          <w:sz w:val="20"/>
          <w:szCs w:val="20"/>
        </w:rPr>
        <w:t>Only melamu – hemi</w:t>
      </w:r>
      <w:r>
        <w:rPr>
          <w:rFonts w:ascii="Times New Roman" w:hAnsi="Times New Roman"/>
          <w:b w:val="false"/>
          <w:bCs w:val="false"/>
          <w:i w:val="false"/>
          <w:iCs w:val="false"/>
          <w:color w:val="auto"/>
          <w:sz w:val="20"/>
          <w:szCs w:val="20"/>
        </w:rPr>
        <w:t xml:space="preserve"> comparison was marginally significant.</w:t>
      </w:r>
      <w:r>
        <w:rPr/>
        <w:commentReference w:id="5"/>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94589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tretch>
                      <a:fillRect/>
                    </a:stretch>
                  </pic:blipFill>
                  <pic:spPr bwMode="auto">
                    <a:xfrm>
                      <a:off x="0" y="0"/>
                      <a:ext cx="6332220" cy="3945890"/>
                    </a:xfrm>
                    <a:prstGeom prst="rect">
                      <a:avLst/>
                    </a:prstGeom>
                  </pic:spPr>
                </pic:pic>
              </a:graphicData>
            </a:graphic>
          </wp:anchor>
        </w:drawing>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S11.</w:t>
      </w:r>
      <w:r>
        <w:rPr>
          <w:rFonts w:ascii="Times New Roman" w:hAnsi="Times New Roman"/>
          <w:b w:val="false"/>
          <w:bCs w:val="false"/>
          <w:i w:val="false"/>
          <w:iCs w:val="false"/>
          <w:color w:val="auto"/>
          <w:sz w:val="20"/>
          <w:szCs w:val="20"/>
        </w:rPr>
        <w:t xml:space="preserve"> LRR as predicted by body length [cm]. Orthoptera is marginally significant. There is an evidence that at least some groups were performing better (perform better tests). [plant_species_logratio.R, </w:t>
      </w:r>
      <w:r>
        <w:rPr>
          <w:rFonts w:ascii="Times New Roman" w:hAnsi="Times New Roman"/>
          <w:b/>
          <w:bCs/>
          <w:i w:val="false"/>
          <w:iCs w:val="false"/>
          <w:color w:val="auto"/>
          <w:sz w:val="20"/>
          <w:szCs w:val="20"/>
        </w:rPr>
        <w:t>add IAPs</w:t>
      </w:r>
      <w:r>
        <w:rPr>
          <w:rFonts w:ascii="Times New Roman" w:hAnsi="Times New Roman"/>
          <w:b w:val="false"/>
          <w:bCs w:val="false"/>
          <w:i w:val="false"/>
          <w:iCs w:val="false"/>
          <w:color w:val="auto"/>
          <w:sz w:val="20"/>
          <w:szCs w:val="20"/>
        </w:rPr>
        <w:t>]</w:t>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b/>
          <w:bCs/>
          <w:i w:val="false"/>
          <w:i w:val="false"/>
          <w:iCs w:val="false"/>
          <w:color w:val="auto"/>
          <w:sz w:val="20"/>
          <w:szCs w:val="20"/>
          <w:u w:val="none"/>
        </w:rPr>
      </w:pPr>
      <w:r>
        <w:rPr>
          <w:rFonts w:cs="Times New Roman" w:ascii="Times New Roman" w:hAnsi="Times New Roman"/>
          <w:b/>
          <w:bCs/>
          <w:i w:val="false"/>
          <w:iCs w:val="false"/>
          <w:color w:val="auto"/>
          <w:sz w:val="20"/>
          <w:szCs w:val="20"/>
          <w:u w:val="none"/>
        </w:rPr>
        <w:drawing>
          <wp:anchor behindDoc="0" distT="0" distB="0" distL="0" distR="0" simplePos="0" locked="0" layoutInCell="1" allowOverlap="1" relativeHeight="19">
            <wp:simplePos x="0" y="0"/>
            <wp:positionH relativeFrom="column">
              <wp:posOffset>57785</wp:posOffset>
            </wp:positionH>
            <wp:positionV relativeFrom="paragraph">
              <wp:posOffset>73660</wp:posOffset>
            </wp:positionV>
            <wp:extent cx="6638290" cy="40951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6638290" cy="4095115"/>
                    </a:xfrm>
                    <a:prstGeom prst="rect">
                      <a:avLst/>
                    </a:prstGeom>
                  </pic:spPr>
                </pic:pic>
              </a:graphicData>
            </a:graphic>
          </wp:anchor>
        </w:drawing>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bCs/>
          <w:i w:val="false"/>
          <w:iCs w:val="false"/>
          <w:color w:val="auto"/>
          <w:sz w:val="20"/>
          <w:szCs w:val="20"/>
          <w:u w:val="none"/>
        </w:rPr>
        <w:t>Figure S12.</w:t>
      </w:r>
      <w:r>
        <w:rPr>
          <w:rFonts w:cs="Times New Roman" w:ascii="Times New Roman" w:hAnsi="Times New Roman"/>
          <w:b w:val="false"/>
          <w:bCs w:val="false"/>
          <w:i w:val="false"/>
          <w:iCs w:val="false"/>
          <w:color w:val="auto"/>
          <w:sz w:val="20"/>
          <w:szCs w:val="20"/>
          <w:u w:val="none"/>
        </w:rPr>
        <w:t xml:space="preserve"> Specialzation (PDI) values for comparable species in control vs exclosure (PREDATOR) plots for each morpho-species from studied herbivorous order/guild. Statistical test was performed on log ratios of the PDI values. [</w:t>
      </w:r>
      <w:r>
        <w:rPr>
          <w:rFonts w:cs="Times New Roman" w:ascii="Times New Roman" w:hAnsi="Times New Roman"/>
          <w:b w:val="false"/>
          <w:bCs w:val="false"/>
          <w:i/>
          <w:iCs/>
          <w:color w:val="auto"/>
          <w:sz w:val="20"/>
          <w:szCs w:val="20"/>
          <w:u w:val="none"/>
        </w:rPr>
        <w:t>pdi_response_to_treatment.R</w:t>
      </w:r>
      <w:r>
        <w:rPr>
          <w:rFonts w:cs="Times New Roman" w:ascii="Times New Roman" w:hAnsi="Times New Roman"/>
          <w:b w:val="false"/>
          <w:bCs w:val="false"/>
          <w:i w:val="false"/>
          <w:iCs w:val="false"/>
          <w:color w:val="auto"/>
          <w:sz w:val="20"/>
          <w:szCs w:val="20"/>
          <w:u w:val="none"/>
        </w:rPr>
        <w:t>].</w:t>
      </w:r>
      <w:r>
        <w:rPr/>
        <w:commentReference w:id="6"/>
      </w:r>
    </w:p>
    <w:p>
      <w:pPr>
        <w:pStyle w:val="Normal"/>
        <w:rPr>
          <w:rFonts w:ascii="Times New Roman" w:hAnsi="Times New Roman" w:cs="Times New Roman"/>
          <w:b w:val="false"/>
          <w:b w:val="false"/>
          <w:bCs w:val="false"/>
          <w:color w:val="auto"/>
          <w:sz w:val="24"/>
          <w:szCs w:val="24"/>
        </w:rPr>
      </w:pPr>
      <w:r>
        <w:rPr>
          <w:rFonts w:cs="Times New Roman" w:ascii="Times New Roman" w:hAnsi="Times New Roman"/>
          <w:b w:val="false"/>
          <w:bCs w:val="false"/>
          <w:color w:val="auto"/>
          <w:sz w:val="24"/>
          <w:szCs w:val="24"/>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627245" cy="4742815"/>
            <wp:effectExtent l="0" t="0" r="0" b="0"/>
            <wp:wrapTopAndBottom/>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4627245" cy="4742815"/>
                    </a:xfrm>
                    <a:prstGeom prst="rect">
                      <a:avLst/>
                    </a:prstGeom>
                  </pic:spPr>
                </pic:pic>
              </a:graphicData>
            </a:graphic>
          </wp:anchor>
        </w:drawing>
      </w:r>
    </w:p>
    <w:p>
      <w:pPr>
        <w:pStyle w:val="Normal"/>
        <w:rPr>
          <w:rFonts w:ascii="Times New Roman" w:hAnsi="Times New Roman" w:cs="Times New Roman"/>
          <w:b w:val="false"/>
          <w:b w:val="false"/>
          <w:bCs w:val="false"/>
          <w:i w:val="false"/>
          <w:i w:val="false"/>
          <w:iCs w:val="false"/>
          <w:color w:val="auto"/>
          <w:sz w:val="20"/>
          <w:szCs w:val="20"/>
        </w:rPr>
      </w:pPr>
      <w:r>
        <w:rPr>
          <w:rFonts w:cs="Times New Roman"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bCs/>
          <w:i w:val="false"/>
          <w:iCs w:val="false"/>
          <w:color w:val="auto"/>
          <w:sz w:val="20"/>
          <w:szCs w:val="20"/>
        </w:rPr>
        <w:t>Figure S12</w:t>
      </w:r>
      <w:r>
        <w:rPr>
          <w:rFonts w:ascii="Times New Roman" w:hAnsi="Times New Roman"/>
          <w:b w:val="false"/>
          <w:bCs w:val="false"/>
          <w:i w:val="false"/>
          <w:iCs w:val="false"/>
          <w:color w:val="auto"/>
          <w:sz w:val="20"/>
          <w:szCs w:val="20"/>
        </w:rPr>
        <w:t>. Correlations between general characteristics of herbivore and IAPs communities. H* - herbivores, ip* inermediate predators, *abu -abundance, *bio – biomass, *div – diversity, *rich - richness [Address that in the text]</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739515" cy="3374390"/>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6"/>
                    <a:stretch>
                      <a:fillRect/>
                    </a:stretch>
                  </pic:blipFill>
                  <pic:spPr bwMode="auto">
                    <a:xfrm>
                      <a:off x="0" y="0"/>
                      <a:ext cx="3739515" cy="3374390"/>
                    </a:xfrm>
                    <a:prstGeom prst="rect">
                      <a:avLst/>
                    </a:prstGeom>
                  </pic:spPr>
                </pic:pic>
              </a:graphicData>
            </a:graphic>
          </wp:anchor>
        </w:drawing>
      </w:r>
      <w:r>
        <w:rPr>
          <w:rFonts w:ascii="Times New Roman" w:hAnsi="Times New Roman"/>
          <w:b/>
          <w:bCs/>
          <w:i w:val="false"/>
          <w:iCs w:val="false"/>
          <w:color w:val="auto"/>
          <w:sz w:val="20"/>
          <w:szCs w:val="20"/>
        </w:rPr>
        <w:t>F</w:t>
      </w:r>
      <w:r>
        <w:rPr>
          <w:rFonts w:ascii="Times New Roman" w:hAnsi="Times New Roman"/>
          <w:b/>
          <w:bCs/>
          <w:i w:val="false"/>
          <w:iCs w:val="false"/>
          <w:color w:val="auto"/>
          <w:sz w:val="20"/>
          <w:szCs w:val="20"/>
        </w:rPr>
        <w:t>igure S13</w:t>
      </w:r>
      <w:r>
        <w:rPr>
          <w:rFonts w:ascii="Times New Roman" w:hAnsi="Times New Roman"/>
          <w:b w:val="false"/>
          <w:bCs w:val="false"/>
          <w:i w:val="false"/>
          <w:iCs w:val="false"/>
          <w:color w:val="auto"/>
          <w:sz w:val="20"/>
          <w:szCs w:val="20"/>
        </w:rPr>
        <w:t>. Comparison of logarithm of biomass for each studied insect order in both exclosure and treatment plots. Letters indicate groups obtained from Tukey comparisons. [biomass_comparisons_families.R]</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47770" cy="3381375"/>
            <wp:effectExtent l="0" t="0" r="0" b="0"/>
            <wp:wrapTopAndBottom/>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tretch>
                      <a:fillRect/>
                    </a:stretch>
                  </pic:blipFill>
                  <pic:spPr bwMode="auto">
                    <a:xfrm>
                      <a:off x="0" y="0"/>
                      <a:ext cx="3747770" cy="3381375"/>
                    </a:xfrm>
                    <a:prstGeom prst="rect">
                      <a:avLst/>
                    </a:prstGeom>
                  </pic:spPr>
                </pic:pic>
              </a:graphicData>
            </a:graphic>
          </wp:anchor>
        </w:drawing>
      </w:r>
      <w:r>
        <w:rPr>
          <w:rFonts w:ascii="Times New Roman" w:hAnsi="Times New Roman"/>
          <w:b/>
          <w:bCs/>
          <w:i w:val="false"/>
          <w:iCs w:val="false"/>
          <w:color w:val="auto"/>
          <w:sz w:val="20"/>
          <w:szCs w:val="20"/>
        </w:rPr>
        <w:t>F</w:t>
      </w:r>
      <w:r>
        <w:rPr>
          <w:rFonts w:ascii="Times New Roman" w:hAnsi="Times New Roman"/>
          <w:b/>
          <w:bCs/>
          <w:i w:val="false"/>
          <w:iCs w:val="false"/>
          <w:color w:val="auto"/>
          <w:sz w:val="20"/>
          <w:szCs w:val="20"/>
        </w:rPr>
        <w:t>igure S15</w:t>
      </w:r>
      <w:r>
        <w:rPr>
          <w:rFonts w:ascii="Times New Roman" w:hAnsi="Times New Roman"/>
          <w:b w:val="false"/>
          <w:bCs w:val="false"/>
          <w:i w:val="false"/>
          <w:iCs w:val="false"/>
          <w:color w:val="auto"/>
          <w:sz w:val="20"/>
          <w:szCs w:val="20"/>
        </w:rPr>
        <w:t>. Abundance for studied arthropod orders.</w:t>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rPr>
          <w:rFonts w:ascii="Times New Roman" w:hAnsi="Times New Roman"/>
          <w:b w:val="false"/>
          <w:b w:val="false"/>
          <w:bCs w:val="false"/>
          <w:i w:val="false"/>
          <w:i w:val="false"/>
          <w:iCs w:val="false"/>
          <w:color w:val="auto"/>
          <w:sz w:val="20"/>
          <w:szCs w:val="2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945890"/>
            <wp:effectExtent l="0" t="0" r="0" b="0"/>
            <wp:wrapSquare wrapText="largest"/>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tretch>
                      <a:fillRect/>
                    </a:stretch>
                  </pic:blipFill>
                  <pic:spPr bwMode="auto">
                    <a:xfrm>
                      <a:off x="0" y="0"/>
                      <a:ext cx="6332220" cy="3945890"/>
                    </a:xfrm>
                    <a:prstGeom prst="rect">
                      <a:avLst/>
                    </a:prstGeom>
                  </pic:spPr>
                </pic:pic>
              </a:graphicData>
            </a:graphic>
          </wp:anchor>
        </w:drawing>
      </w:r>
      <w:r>
        <w:rPr>
          <w:rFonts w:ascii="Times New Roman" w:hAnsi="Times New Roman"/>
          <w:b/>
          <w:bCs/>
          <w:i w:val="false"/>
          <w:iCs w:val="false"/>
          <w:color w:val="auto"/>
          <w:sz w:val="20"/>
          <w:szCs w:val="20"/>
        </w:rPr>
        <w:t>F</w:t>
      </w:r>
      <w:r>
        <w:rPr>
          <w:rFonts w:ascii="Times New Roman" w:hAnsi="Times New Roman"/>
          <w:b/>
          <w:bCs/>
          <w:i w:val="false"/>
          <w:iCs w:val="false"/>
          <w:color w:val="auto"/>
          <w:sz w:val="20"/>
          <w:szCs w:val="20"/>
        </w:rPr>
        <w:t>igure S16</w:t>
      </w:r>
      <w:r>
        <w:rPr>
          <w:rFonts w:ascii="Times New Roman" w:hAnsi="Times New Roman"/>
          <w:b w:val="false"/>
          <w:bCs w:val="false"/>
          <w:i w:val="false"/>
          <w:iCs w:val="false"/>
          <w:color w:val="auto"/>
          <w:sz w:val="20"/>
          <w:szCs w:val="20"/>
        </w:rPr>
        <w:t>. Orthoptera and lepidoptera were the largest herbivores in our system [plant_species_logratio.R].</w:t>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90515" cy="4714240"/>
            <wp:effectExtent l="0" t="0" r="0" b="0"/>
            <wp:wrapTopAndBottom/>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5390515" cy="4714240"/>
                    </a:xfrm>
                    <a:prstGeom prst="rect">
                      <a:avLst/>
                    </a:prstGeom>
                  </pic:spPr>
                </pic:pic>
              </a:graphicData>
            </a:graphic>
          </wp:anchor>
        </w:drawing>
      </w:r>
    </w:p>
    <w:p>
      <w:pPr>
        <w:pStyle w:val="PreformattedText"/>
        <w:jc w:val="both"/>
        <w:rPr>
          <w:rFonts w:ascii="Times New Roman" w:hAnsi="Times New Roman"/>
          <w:b w:val="false"/>
          <w:b w:val="false"/>
          <w:bCs w:val="false"/>
          <w:i w:val="false"/>
          <w:i w:val="false"/>
          <w:iCs w:val="false"/>
          <w:color w:val="auto"/>
          <w:sz w:val="20"/>
          <w:szCs w:val="20"/>
        </w:rPr>
      </w:pPr>
      <w:bookmarkStart w:id="1" w:name="rstudio_console_output2"/>
      <w:bookmarkEnd w:id="1"/>
      <w:r>
        <w:rPr>
          <w:rFonts w:ascii="Times New Roman" w:hAnsi="Times New Roman"/>
          <w:b/>
          <w:bCs/>
          <w:i w:val="false"/>
          <w:iCs w:val="false"/>
          <w:color w:val="auto"/>
          <w:sz w:val="20"/>
          <w:szCs w:val="20"/>
        </w:rPr>
        <w:t>Multiple R-squared:  0.7311</w:t>
      </w:r>
      <w:r>
        <w:rPr>
          <w:rFonts w:ascii="Times New Roman" w:hAnsi="Times New Roman"/>
          <w:b w:val="false"/>
          <w:bCs w:val="false"/>
          <w:i w:val="false"/>
          <w:iCs w:val="false"/>
          <w:color w:val="auto"/>
          <w:sz w:val="20"/>
          <w:szCs w:val="20"/>
        </w:rPr>
        <w:t xml:space="preserve">,    </w:t>
      </w:r>
      <w:r>
        <w:rPr>
          <w:rFonts w:ascii="Times New Roman" w:hAnsi="Times New Roman"/>
          <w:b/>
          <w:bCs/>
          <w:i w:val="false"/>
          <w:iCs w:val="false"/>
          <w:color w:val="auto"/>
          <w:sz w:val="20"/>
          <w:szCs w:val="20"/>
        </w:rPr>
        <w:t>Adjusted R-squared:  0.6159</w:t>
      </w:r>
      <w:r>
        <w:rPr>
          <w:rFonts w:ascii="Times New Roman" w:hAnsi="Times New Roman"/>
          <w:b w:val="false"/>
          <w:bCs w:val="false"/>
          <w:i w:val="false"/>
          <w:iCs w:val="false"/>
          <w:color w:val="auto"/>
          <w:sz w:val="20"/>
          <w:szCs w:val="20"/>
        </w:rPr>
        <w:t xml:space="preserve"> [plant biomass_vs_herbivore abundance.R] Same as above but for cumulated abundance and leaf weight</w:t>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r>
    </w:p>
    <w:p>
      <w:pPr>
        <w:pStyle w:val="Normal"/>
        <w:jc w:val="both"/>
        <w:rPr>
          <w:rFonts w:ascii="Times New Roman" w:hAnsi="Times New Roman"/>
          <w:b w:val="false"/>
          <w:b w:val="false"/>
          <w:bCs w:val="false"/>
          <w:i w:val="false"/>
          <w:i w:val="false"/>
          <w:iCs w:val="false"/>
          <w:color w:val="auto"/>
          <w:sz w:val="20"/>
          <w:szCs w:val="20"/>
        </w:rPr>
      </w:pPr>
      <w:r>
        <w:rPr>
          <w:rFonts w:ascii="Times New Roman" w:hAnsi="Times New Roman"/>
          <w:b w:val="false"/>
          <w:bCs w:val="false"/>
          <w:i w:val="false"/>
          <w:iCs w:val="false"/>
          <w:color w:val="auto"/>
          <w:sz w:val="20"/>
          <w:szCs w:val="2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6011545"/>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332220" cy="6011545"/>
                    </a:xfrm>
                    <a:prstGeom prst="rect">
                      <a:avLst/>
                    </a:prstGeom>
                  </pic:spPr>
                </pic:pic>
              </a:graphicData>
            </a:graphic>
          </wp:anchor>
        </w:drawing>
      </w:r>
    </w:p>
    <w:p>
      <w:pPr>
        <w:pStyle w:val="Normal"/>
        <w:rPr>
          <w:rFonts w:ascii="Times New Roman" w:hAnsi="Times New Roman" w:cs="Times New Roman"/>
          <w:b/>
          <w:b/>
          <w:bCs/>
          <w:i w:val="false"/>
          <w:i w:val="false"/>
          <w:iCs w:val="false"/>
          <w:color w:val="auto"/>
          <w:sz w:val="20"/>
          <w:szCs w:val="20"/>
          <w:u w:val="none"/>
        </w:rPr>
      </w:pPr>
      <w:bookmarkStart w:id="2" w:name="__DdeLink__11093_3738093931"/>
      <w:r>
        <w:rPr>
          <w:rFonts w:cs="Times New Roman" w:ascii="Times New Roman" w:hAnsi="Times New Roman"/>
          <w:b/>
          <w:bCs/>
          <w:i w:val="false"/>
          <w:iCs w:val="false"/>
          <w:color w:val="auto"/>
          <w:sz w:val="20"/>
          <w:szCs w:val="20"/>
          <w:u w:val="none"/>
        </w:rPr>
        <w:t>Figure XXX</w:t>
      </w:r>
      <w:bookmarkEnd w:id="2"/>
      <w:r>
        <w:rPr>
          <w:rFonts w:cs="Times New Roman" w:ascii="Times New Roman" w:hAnsi="Times New Roman"/>
          <w:b/>
          <w:bCs/>
          <w:i w:val="false"/>
          <w:iCs w:val="false"/>
          <w:color w:val="auto"/>
          <w:sz w:val="20"/>
          <w:szCs w:val="20"/>
          <w:u w:val="none"/>
        </w:rPr>
        <w:t>_specialization and colonization. Emmean here is the PDI value.</w:t>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t>Contrasts for lost stayed gained analysis:</w:t>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PreformattedText"/>
        <w:rPr>
          <w:rFonts w:ascii="Times New Roman" w:hAnsi="Times New Roman"/>
          <w:sz w:val="24"/>
          <w:szCs w:val="24"/>
        </w:rPr>
      </w:pPr>
      <w:r>
        <w:rPr>
          <w:rFonts w:ascii="Times New Roman" w:hAnsi="Times New Roman"/>
          <w:sz w:val="24"/>
          <w:szCs w:val="24"/>
        </w:rPr>
        <w:t>Statistical difference for the plot above showing pairwise comparisons.</w:t>
      </w:r>
    </w:p>
    <w:p>
      <w:pPr>
        <w:pStyle w:val="PreformattedText"/>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cole</w:t>
      </w:r>
      <w:r>
        <w:rPr>
          <w:rFonts w:ascii="Times New Roman" w:hAnsi="Times New Roman"/>
          <w:sz w:val="24"/>
          <w:szCs w:val="24"/>
        </w:rPr>
        <w:t>:</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-0.068663 0.01421 450 -4.832  </w:t>
      </w:r>
      <w:r>
        <w:rPr>
          <w:rFonts w:ascii="Times New Roman" w:hAnsi="Times New Roman"/>
          <w:b/>
          <w:bCs/>
          <w:sz w:val="24"/>
          <w:szCs w:val="24"/>
        </w:rPr>
        <w:t xml:space="preserve">&lt;.0001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-0.068428 0.01309 450 -5.227  </w:t>
      </w:r>
      <w:r>
        <w:rPr>
          <w:rFonts w:ascii="Times New Roman" w:hAnsi="Times New Roman"/>
          <w:b/>
          <w:bCs/>
          <w:sz w:val="24"/>
          <w:szCs w:val="24"/>
        </w:rPr>
        <w:t>&lt;.0001</w:t>
      </w:r>
      <w:r>
        <w:rPr>
          <w:rFonts w:ascii="Times New Roman" w:hAnsi="Times New Roman"/>
          <w:sz w:val="24"/>
          <w:szCs w:val="24"/>
        </w:rPr>
        <w:t xml:space="preserve">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0.000235 0.01445 450  0.016  0.9999 </w:t>
      </w:r>
    </w:p>
    <w:p>
      <w:pPr>
        <w:pStyle w:val="PreformattedText"/>
        <w:spacing w:before="0" w:after="0"/>
        <w:rPr>
          <w:rFonts w:ascii="Times New Roman" w:hAnsi="Times New Roman"/>
          <w:sz w:val="24"/>
          <w:szCs w:val="24"/>
        </w:rPr>
      </w:pPr>
      <w:r>
        <w:rPr>
          <w:rFonts w:ascii="Times New Roman" w:hAnsi="Times New Roman"/>
          <w:sz w:val="24"/>
          <w:szCs w:val="24"/>
        </w:rPr>
      </w:r>
    </w:p>
    <w:p>
      <w:pPr>
        <w:pStyle w:val="PreformattedText"/>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hemi</w:t>
      </w:r>
      <w:r>
        <w:rPr>
          <w:rFonts w:ascii="Times New Roman" w:hAnsi="Times New Roman"/>
          <w:sz w:val="24"/>
          <w:szCs w:val="24"/>
        </w:rPr>
        <w:t>:</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-0.003923 0.01502 450 -0.261  0.9631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-0.008128 0.01424 450 -0.571  0.8358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-0.004204 0.01443 450 -0.291  0.9543 </w:t>
      </w:r>
    </w:p>
    <w:p>
      <w:pPr>
        <w:pStyle w:val="PreformattedText"/>
        <w:spacing w:before="0" w:after="0"/>
        <w:rPr>
          <w:rFonts w:ascii="Times New Roman" w:hAnsi="Times New Roman"/>
          <w:sz w:val="24"/>
          <w:szCs w:val="24"/>
        </w:rPr>
      </w:pPr>
      <w:r>
        <w:rPr>
          <w:rFonts w:ascii="Times New Roman" w:hAnsi="Times New Roman"/>
          <w:sz w:val="24"/>
          <w:szCs w:val="24"/>
        </w:rPr>
      </w:r>
    </w:p>
    <w:p>
      <w:pPr>
        <w:pStyle w:val="PreformattedText"/>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homo</w:t>
      </w:r>
      <w:r>
        <w:rPr>
          <w:rFonts w:ascii="Times New Roman" w:hAnsi="Times New Roman"/>
          <w:sz w:val="24"/>
          <w:szCs w:val="24"/>
        </w:rPr>
        <w:t>:</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-0.035268 0.02271 450 -1.553  0.2673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-0.038687 0.02043 450 -1.894  0.1416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-0.003419 0.02098 450 -0.163  0.9855 </w:t>
      </w:r>
    </w:p>
    <w:p>
      <w:pPr>
        <w:pStyle w:val="PreformattedText"/>
        <w:spacing w:before="0" w:after="0"/>
        <w:rPr>
          <w:rFonts w:ascii="Times New Roman" w:hAnsi="Times New Roman"/>
          <w:sz w:val="24"/>
          <w:szCs w:val="24"/>
        </w:rPr>
      </w:pPr>
      <w:r>
        <w:rPr>
          <w:rFonts w:ascii="Times New Roman" w:hAnsi="Times New Roman"/>
          <w:sz w:val="24"/>
          <w:szCs w:val="24"/>
        </w:rPr>
      </w:r>
    </w:p>
    <w:p>
      <w:pPr>
        <w:pStyle w:val="PreformattedText"/>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lepi</w:t>
      </w:r>
      <w:r>
        <w:rPr>
          <w:rFonts w:ascii="Times New Roman" w:hAnsi="Times New Roman"/>
          <w:sz w:val="24"/>
          <w:szCs w:val="24"/>
        </w:rPr>
        <w:t>:</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-0.043689 0.01372 450 -3.185  </w:t>
      </w:r>
      <w:r>
        <w:rPr>
          <w:rFonts w:ascii="Times New Roman" w:hAnsi="Times New Roman"/>
          <w:b/>
          <w:bCs/>
          <w:sz w:val="24"/>
          <w:szCs w:val="24"/>
        </w:rPr>
        <w:t xml:space="preserve">0.0044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-0.043394 0.01338 450 -3.242  </w:t>
      </w:r>
      <w:r>
        <w:rPr>
          <w:rFonts w:ascii="Times New Roman" w:hAnsi="Times New Roman"/>
          <w:b/>
          <w:bCs/>
          <w:sz w:val="24"/>
          <w:szCs w:val="24"/>
        </w:rPr>
        <w:t xml:space="preserve">0.0036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0.000296 0.01268 450  0.023  0.9997 </w:t>
      </w:r>
    </w:p>
    <w:p>
      <w:pPr>
        <w:pStyle w:val="PreformattedText"/>
        <w:spacing w:before="0" w:after="0"/>
        <w:rPr>
          <w:rFonts w:ascii="Times New Roman" w:hAnsi="Times New Roman"/>
          <w:sz w:val="24"/>
          <w:szCs w:val="24"/>
        </w:rPr>
      </w:pPr>
      <w:r>
        <w:rPr>
          <w:rFonts w:ascii="Times New Roman" w:hAnsi="Times New Roman"/>
          <w:sz w:val="24"/>
          <w:szCs w:val="24"/>
        </w:rPr>
      </w:r>
    </w:p>
    <w:p>
      <w:pPr>
        <w:pStyle w:val="PreformattedText"/>
        <w:spacing w:before="0" w:after="0"/>
        <w:rPr>
          <w:rFonts w:ascii="Times New Roman" w:hAnsi="Times New Roman"/>
          <w:sz w:val="24"/>
          <w:szCs w:val="24"/>
        </w:rPr>
      </w:pPr>
      <w:r>
        <w:rPr>
          <w:rFonts w:ascii="Times New Roman" w:hAnsi="Times New Roman"/>
          <w:sz w:val="24"/>
          <w:szCs w:val="24"/>
        </w:rPr>
        <w:t xml:space="preserve">fam = </w:t>
      </w:r>
      <w:r>
        <w:rPr>
          <w:rFonts w:ascii="Times New Roman" w:hAnsi="Times New Roman"/>
          <w:b/>
          <w:bCs/>
          <w:sz w:val="24"/>
          <w:szCs w:val="24"/>
        </w:rPr>
        <w:t>orth</w:t>
      </w:r>
      <w:r>
        <w:rPr>
          <w:rFonts w:ascii="Times New Roman" w:hAnsi="Times New Roman"/>
          <w:sz w:val="24"/>
          <w:szCs w:val="24"/>
        </w:rPr>
        <w:t>:</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contrast         estimate      SE  df t.ratio p.value</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lost   -0.024894 0.00962 450 -2.588  </w:t>
      </w:r>
      <w:r>
        <w:rPr>
          <w:rFonts w:ascii="Times New Roman" w:hAnsi="Times New Roman"/>
          <w:b/>
          <w:bCs/>
          <w:sz w:val="24"/>
          <w:szCs w:val="24"/>
        </w:rPr>
        <w:t xml:space="preserve">0.0269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stayed - gained -0.036083 0.00995 450 -3.627  </w:t>
      </w:r>
      <w:r>
        <w:rPr>
          <w:rFonts w:ascii="Times New Roman" w:hAnsi="Times New Roman"/>
          <w:b/>
          <w:bCs/>
          <w:sz w:val="24"/>
          <w:szCs w:val="24"/>
        </w:rPr>
        <w:t xml:space="preserve">0.0009 </w:t>
      </w:r>
    </w:p>
    <w:p>
      <w:pPr>
        <w:pStyle w:val="PreformattedText"/>
        <w:spacing w:before="0"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lost - gained   -0.011189 0.01014 450 -1.104  0.5122 </w:t>
      </w:r>
    </w:p>
    <w:p>
      <w:pPr>
        <w:pStyle w:val="PreformattedText"/>
        <w:spacing w:before="0" w:after="0"/>
        <w:rPr>
          <w:rFonts w:ascii="Times New Roman" w:hAnsi="Times New Roman"/>
          <w:sz w:val="24"/>
          <w:szCs w:val="24"/>
        </w:rPr>
      </w:pPr>
      <w:r>
        <w:rPr>
          <w:rFonts w:ascii="Times New Roman" w:hAnsi="Times New Roman"/>
          <w:sz w:val="24"/>
          <w:szCs w:val="24"/>
        </w:rPr>
      </w:r>
    </w:p>
    <w:p>
      <w:pPr>
        <w:pStyle w:val="PreformattedText"/>
        <w:spacing w:before="0" w:after="0"/>
        <w:rPr>
          <w:rFonts w:ascii="Times New Roman" w:hAnsi="Times New Roman"/>
          <w:sz w:val="24"/>
          <w:szCs w:val="24"/>
        </w:rPr>
      </w:pPr>
      <w:r>
        <w:rPr>
          <w:rFonts w:ascii="Times New Roman" w:hAnsi="Times New Roman"/>
          <w:sz w:val="24"/>
          <w:szCs w:val="24"/>
        </w:rPr>
        <w:t xml:space="preserve">P value adjustment: tukey method for comparing a family of 3 estimates </w:t>
      </w:r>
    </w:p>
    <w:p>
      <w:pPr>
        <w:pStyle w:val="PreformattedText"/>
        <w:rPr>
          <w:rFonts w:ascii="DejaVu Sans Mono" w:hAnsi="DejaVu Sans Mono"/>
          <w:sz w:val="20"/>
        </w:rPr>
      </w:pPr>
      <w:r>
        <w:rPr>
          <w:rFonts w:ascii="DejaVu Sans Mono" w:hAnsi="DejaVu Sans Mono"/>
          <w:sz w:val="20"/>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jc w:val="both"/>
        <w:rPr>
          <w:rFonts w:ascii="Times New Roman" w:hAnsi="Times New Roman" w:cs="Times New Roman"/>
          <w:b w:val="false"/>
          <w:b w:val="false"/>
          <w:bCs w:val="false"/>
          <w:i w:val="false"/>
          <w:i w:val="false"/>
          <w:iCs w:val="false"/>
          <w:color w:val="auto"/>
          <w:sz w:val="20"/>
          <w:szCs w:val="20"/>
          <w:u w:val="none"/>
        </w:rPr>
      </w:pPr>
      <w:r>
        <w:rPr>
          <w:rFonts w:cs="Times New Roman" w:ascii="Times New Roman" w:hAnsi="Times New Roman"/>
          <w:b w:val="false"/>
          <w:bCs w:val="false"/>
          <w:i w:val="false"/>
          <w:iCs w:val="false"/>
          <w:color w:val="auto"/>
          <w:sz w:val="20"/>
          <w:szCs w:val="20"/>
          <w:u w:val="none"/>
        </w:rPr>
      </w:r>
    </w:p>
    <w:p>
      <w:pPr>
        <w:pStyle w:val="Normal"/>
        <w:spacing w:lineRule="auto" w:line="240" w:before="0" w:after="0"/>
        <w:ind w:left="0" w:right="0" w:hanging="0"/>
        <w:jc w:val="left"/>
        <w:rPr>
          <w:rFonts w:ascii="Times New Roman" w:hAnsi="Times New Roman" w:cs="Times New Roman"/>
          <w:b/>
          <w:b/>
          <w:bCs/>
          <w:i w:val="false"/>
          <w:i w:val="false"/>
          <w:iCs w:val="false"/>
          <w:caps w:val="false"/>
          <w:smallCaps w:val="false"/>
          <w:color w:val="auto"/>
          <w:position w:val="0"/>
          <w:sz w:val="24"/>
          <w:sz w:val="24"/>
          <w:szCs w:val="24"/>
          <w:u w:val="none"/>
          <w:vertAlign w:val="baseline"/>
        </w:rPr>
      </w:pPr>
      <w:r>
        <w:rPr>
          <w:rFonts w:cs="Times New Roman" w:ascii="Times New Roman" w:hAnsi="Times New Roman"/>
          <w:b/>
          <w:bCs/>
          <w:i w:val="false"/>
          <w:iCs w:val="false"/>
          <w:caps w:val="false"/>
          <w:smallCaps w:val="false"/>
          <w:color w:val="auto"/>
          <w:position w:val="0"/>
          <w:sz w:val="24"/>
          <w:sz w:val="24"/>
          <w:szCs w:val="24"/>
          <w:u w:val="none"/>
          <w:vertAlign w:val="baseline"/>
        </w:rPr>
        <w:t>Supplementary discussion</w:t>
      </w:r>
    </w:p>
    <w:p>
      <w:pPr>
        <w:pStyle w:val="Normal"/>
        <w:spacing w:lineRule="auto" w:line="240" w:before="0" w:after="0"/>
        <w:ind w:left="0" w:right="0" w:hanging="0"/>
        <w:jc w:val="left"/>
        <w:rPr>
          <w:rFonts w:ascii="Times New Roman" w:hAnsi="Times New Roman" w:cs="Times New Roman"/>
          <w:b w:val="false"/>
          <w:b w:val="false"/>
          <w:bCs w:val="false"/>
          <w:i w:val="false"/>
          <w:i w:val="false"/>
          <w:iCs w:val="false"/>
          <w:caps w:val="false"/>
          <w:smallCaps w:val="false"/>
          <w:color w:val="auto"/>
          <w:position w:val="0"/>
          <w:sz w:val="24"/>
          <w:sz w:val="24"/>
          <w:szCs w:val="24"/>
          <w:u w:val="none"/>
          <w:vertAlign w:val="baseline"/>
        </w:rPr>
      </w:pPr>
      <w:r>
        <w:rPr>
          <w:rFonts w:cs="Times New Roman" w:ascii="Times New Roman" w:hAnsi="Times New Roman"/>
          <w:b w:val="false"/>
          <w:bCs w:val="false"/>
          <w:i w:val="false"/>
          <w:iCs w:val="false"/>
          <w:caps w:val="false"/>
          <w:smallCaps w:val="false"/>
          <w:color w:val="auto"/>
          <w:position w:val="0"/>
          <w:sz w:val="24"/>
          <w:sz w:val="24"/>
          <w:szCs w:val="24"/>
          <w:u w:val="none"/>
          <w:vertAlign w:val="baseline"/>
        </w:rPr>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In the light of our results, proving weak top-down effects of predatros on artropods we can rule out plant compensation for herbivore damage by increasing their growth. We did not find effect of leaf damge as well despite that these generally shows a stronger response to bird and bat exclusion than leaf biomass, plant growth, or reproductive output (Maas et al., 2016). Moreover,</w:t>
      </w:r>
      <w:r>
        <w:rPr>
          <w:rFonts w:cs="Times New Roman" w:ascii="Times New Roman" w:hAnsi="Times New Roman"/>
          <w:b w:val="false"/>
          <w:bCs w:val="false"/>
          <w:i w:val="false"/>
          <w:iCs w:val="false"/>
          <w:color w:val="auto"/>
          <w:sz w:val="24"/>
          <w:szCs w:val="24"/>
          <w:lang w:val="en-GB"/>
        </w:rPr>
        <w:t xml:space="preserve"> in complex communities negative top-down effects on individual plant and herbivores species can be compensated by variability in plant quality, that is related to species diversity (Barnes et al., 2020; Bosc et al., 2018; DeLong et al., 2015; Mooney et al., 2012; Schmitz, 2017; Singer et al., 2014). However, f</w:t>
      </w:r>
      <w:r>
        <w:rPr>
          <w:rFonts w:cs="Times New Roman" w:ascii="Times New Roman" w:hAnsi="Times New Roman"/>
          <w:b w:val="false"/>
          <w:bCs w:val="false"/>
          <w:i w:val="false"/>
          <w:iCs w:val="false"/>
          <w:sz w:val="24"/>
          <w:szCs w:val="24"/>
        </w:rPr>
        <w:t>unctional diversity and leaf nitrogen content peaks in mid-aged forest (Whitfeld et al., 2014). Thus suggesting that early stages might have low functional diversity and be more similar than in later stages. Maybe initial successioanl stages are not as unprotected as we thoght before.</w:t>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 xml:space="preserve">Mechanistic theory of food chains tells us that positive effect of predators on herbivores will occur if herbivores </w:t>
      </w:r>
      <w:r>
        <w:rPr>
          <w:rFonts w:cs="Times New Roman" w:ascii="Times New Roman" w:hAnsi="Times New Roman"/>
          <w:b/>
          <w:bCs/>
          <w:i w:val="false"/>
          <w:iCs w:val="false"/>
          <w:sz w:val="24"/>
          <w:szCs w:val="24"/>
        </w:rPr>
        <w:t>are limited by relative food shortage</w:t>
      </w:r>
      <w:r>
        <w:rPr>
          <w:rFonts w:cs="Times New Roman" w:ascii="Times New Roman" w:hAnsi="Times New Roman"/>
          <w:b w:val="false"/>
          <w:bCs w:val="false"/>
          <w:i w:val="false"/>
          <w:iCs w:val="false"/>
          <w:sz w:val="24"/>
          <w:szCs w:val="24"/>
        </w:rPr>
        <w:t xml:space="preserve"> (dependent on their abilities to assimilate plant tissue) as opposed to absolute resource limitation (herbivores can eat all they want but the supply is fixed and limited) (Schmitz, 2010). Even though early successional plants rarely have strong structural defences they might be protected by secondary metabolites. Defenses reduce the amount of biomass that can be eaten by individual herbivores, because they need to maintain low concentration of toxins (ref). It is possible that early successional plants may posses effective chemical defenses (Segar et al., 2017; Volf et al., 2018). Moreover, if herbivores are abundant then leaf damage can accumulate and show higher values in forest gaps.</w:t>
      </w:r>
      <w:r>
        <w:rPr/>
        <w:commentReference w:id="7"/>
      </w:r>
    </w:p>
    <w:p>
      <w:pPr>
        <w:pStyle w:val="Normal"/>
        <w:spacing w:lineRule="auto" w:line="480"/>
        <w:rPr>
          <w:rFonts w:ascii="Times New Roman" w:hAnsi="Times New Roman"/>
        </w:rPr>
      </w:pPr>
      <w:r>
        <w:rPr>
          <w:rFonts w:cs="Times New Roman" w:ascii="Times New Roman" w:hAnsi="Times New Roman"/>
          <w:b w:val="false"/>
          <w:bCs w:val="false"/>
          <w:i w:val="false"/>
          <w:iCs w:val="false"/>
          <w:sz w:val="24"/>
          <w:szCs w:val="24"/>
        </w:rPr>
        <w:tab/>
        <w:t xml:space="preserve">Weak top-down effects might be also related to the top predator behaviour. It has been long known that birds recognize the structure rather than type of the </w:t>
      </w:r>
      <w:commentRangeStart w:id="8"/>
      <w:r>
        <w:rPr>
          <w:rFonts w:cs="Times New Roman" w:ascii="Times New Roman" w:hAnsi="Times New Roman"/>
          <w:b w:val="false"/>
          <w:bCs w:val="false"/>
          <w:i w:val="false"/>
          <w:iCs w:val="false"/>
          <w:sz w:val="24"/>
          <w:szCs w:val="24"/>
        </w:rPr>
        <w:t>vegetation</w:t>
      </w:r>
      <w:r>
        <w:rPr>
          <w:rFonts w:cs="Times New Roman" w:ascii="Times New Roman" w:hAnsi="Times New Roman"/>
          <w:b w:val="false"/>
          <w:bCs w:val="false"/>
          <w:i w:val="false"/>
          <w:iCs w:val="false"/>
          <w:sz w:val="24"/>
          <w:szCs w:val="24"/>
        </w:rPr>
      </w:r>
      <w:commentRangeEnd w:id="8"/>
      <w:r>
        <w:commentReference w:id="8"/>
      </w:r>
      <w:r>
        <w:rPr>
          <w:rFonts w:cs="Times New Roman" w:ascii="Times New Roman" w:hAnsi="Times New Roman"/>
          <w:b w:val="false"/>
          <w:bCs w:val="false"/>
          <w:i w:val="false"/>
          <w:iCs w:val="false"/>
          <w:sz w:val="24"/>
          <w:szCs w:val="24"/>
        </w:rPr>
        <w:t xml:space="preserve"> (Boege and Marquis, 2006; MacArthur and MacArthur, 1961). </w:t>
      </w:r>
      <w:r>
        <w:rPr>
          <w:rFonts w:cs="Times New Roman" w:ascii="Times New Roman" w:hAnsi="Times New Roman"/>
          <w:b w:val="false"/>
          <w:bCs w:val="false"/>
          <w:i w:val="false"/>
          <w:iCs w:val="false"/>
          <w:color w:val="auto"/>
          <w:sz w:val="24"/>
          <w:szCs w:val="24"/>
          <w:lang w:val="en-GB"/>
        </w:rPr>
        <w:t xml:space="preserve">Avian predation reduced sawfly larval abundance regardless of the presence of </w:t>
      </w:r>
      <w:r>
        <w:rPr>
          <w:rFonts w:cs="Times New Roman" w:ascii="Times New Roman" w:hAnsi="Times New Roman"/>
          <w:b/>
          <w:bCs/>
          <w:i w:val="false"/>
          <w:iCs w:val="false"/>
          <w:color w:val="auto"/>
          <w:sz w:val="24"/>
          <w:szCs w:val="24"/>
          <w:lang w:val="en-GB"/>
        </w:rPr>
        <w:t>plant neighbours</w:t>
      </w:r>
      <w:r>
        <w:rPr>
          <w:rFonts w:cs="Times New Roman" w:ascii="Times New Roman" w:hAnsi="Times New Roman"/>
          <w:b w:val="false"/>
          <w:bCs w:val="false"/>
          <w:i w:val="false"/>
          <w:iCs w:val="false"/>
          <w:color w:val="auto"/>
          <w:sz w:val="24"/>
          <w:szCs w:val="24"/>
          <w:lang w:val="en-GB"/>
        </w:rPr>
        <w:t>; lepidopteran larval abundance only when plant neighbours were removed; and spider abundance only when plant neighbours were left intact. The removal of plant neighbours increased prey accessibility for foraging insectivorous birds and decreased chewer damage on seedlings. The density of concealed‐feeder insects (leaf miners) increased with plant neighbour removal and when seedlings were less damaged by chewer guild, suggesting intraguild competition.(Giffard et al., 2013)</w:t>
      </w:r>
      <w:r>
        <w:rPr>
          <w:rFonts w:cs="Times New Roman" w:ascii="Times New Roman" w:hAnsi="Times New Roman"/>
          <w:b w:val="false"/>
          <w:bCs w:val="false"/>
          <w:i w:val="false"/>
          <w:iCs w:val="false"/>
          <w:sz w:val="24"/>
          <w:szCs w:val="24"/>
        </w:rPr>
        <w:t>. And also (Gras et al., 2016) where canopy corve modified predtor effects.</w:t>
      </w:r>
    </w:p>
    <w:p>
      <w:pPr>
        <w:pStyle w:val="Normal"/>
        <w:spacing w:lineRule="auto" w:line="480"/>
        <w:rPr>
          <w:rFonts w:ascii="Times New Roman" w:hAnsi="Times New Roman"/>
          <w:sz w:val="24"/>
          <w:szCs w:val="24"/>
        </w:rPr>
      </w:pPr>
      <w:r>
        <w:rPr>
          <w:rFonts w:cs="Times New Roman" w:ascii="Times New Roman" w:hAnsi="Times New Roman"/>
          <w:b w:val="false"/>
          <w:bCs w:val="false"/>
          <w:i w:val="false"/>
          <w:iCs w:val="false"/>
          <w:sz w:val="24"/>
          <w:szCs w:val="24"/>
        </w:rPr>
        <w:t>Forest edges are mostly devoid of specialist understoryinsectivore species, which actively avoid border areas(Banks-Leite et al. 2010; Pfeifer et al. 2017) from Harrison 2020.</w:t>
      </w:r>
    </w:p>
    <w:p>
      <w:pPr>
        <w:pStyle w:val="Normal"/>
        <w:spacing w:lineRule="auto" w:line="480"/>
        <w:rPr>
          <w:rFonts w:ascii="Times New Roman" w:hAnsi="Times New Roman"/>
          <w:sz w:val="24"/>
          <w:szCs w:val="24"/>
        </w:rPr>
      </w:pPr>
      <w:r>
        <w:rPr>
          <w:rFonts w:cs="Times New Roman" w:ascii="Times New Roman" w:hAnsi="Times New Roman"/>
          <w:b w:val="false"/>
          <w:bCs w:val="false"/>
          <w:i w:val="false"/>
          <w:iCs w:val="false"/>
          <w:sz w:val="24"/>
          <w:szCs w:val="24"/>
        </w:rPr>
        <w:tab/>
        <w:t xml:space="preserve">A third reason migth be that lizards might be more important predators in this habitat. However lizards were found to be key predtaros feeding mostly on spiders </w:t>
      </w:r>
      <w:commentRangeStart w:id="9"/>
      <w:r>
        <w:rPr>
          <w:rFonts w:cs="Times New Roman" w:ascii="Times New Roman" w:hAnsi="Times New Roman"/>
          <w:b w:val="false"/>
          <w:bCs w:val="false"/>
          <w:i w:val="false"/>
          <w:iCs w:val="false"/>
          <w:sz w:val="24"/>
          <w:szCs w:val="24"/>
        </w:rPr>
        <w:t>in tabonuco forest in Puerto Rico resulted in doubling of their abundance</w:t>
      </w:r>
      <w:r>
        <w:rPr>
          <w:rFonts w:cs="Times New Roman" w:ascii="Times New Roman" w:hAnsi="Times New Roman"/>
          <w:b w:val="false"/>
          <w:bCs w:val="false"/>
          <w:i w:val="false"/>
          <w:iCs w:val="false"/>
          <w:sz w:val="24"/>
          <w:szCs w:val="24"/>
        </w:rPr>
      </w:r>
      <w:commentRangeEnd w:id="9"/>
      <w:r>
        <w:commentReference w:id="9"/>
      </w:r>
      <w:r>
        <w:rPr>
          <w:rFonts w:cs="Times New Roman" w:ascii="Times New Roman" w:hAnsi="Times New Roman"/>
          <w:b w:val="false"/>
          <w:bCs w:val="false"/>
          <w:i w:val="false"/>
          <w:iCs w:val="false"/>
          <w:sz w:val="24"/>
          <w:szCs w:val="24"/>
        </w:rPr>
        <w:t xml:space="preserve"> (Beard et al., n.d.). </w:t>
      </w:r>
    </w:p>
    <w:p>
      <w:pPr>
        <w:pStyle w:val="Normal"/>
        <w:spacing w:lineRule="auto" w:line="480"/>
        <w:jc w:val="left"/>
        <w:rPr>
          <w:rFonts w:ascii="Times New Roman" w:hAnsi="Times New Roman"/>
          <w:sz w:val="24"/>
          <w:szCs w:val="24"/>
        </w:rPr>
      </w:pPr>
      <w:r>
        <w:rPr>
          <w:rFonts w:cs="Times New Roman" w:ascii="Times New Roman" w:hAnsi="Times New Roman"/>
          <w:b w:val="false"/>
          <w:bCs w:val="false"/>
          <w:i w:val="false"/>
          <w:iCs w:val="false"/>
          <w:sz w:val="24"/>
          <w:szCs w:val="24"/>
        </w:rPr>
        <w:tab/>
        <w:t>In the main text we discussed paper by (Bosc et al., 2018). However in this study the Authors used ordination as a proxy for herbivore species performance and specialization. In our opinion, in-field evaluation of specialization and the use of LRR would be more powerful. Nevertheless, we also used similar ordination approach in our study (Fig S2). Since there was a substantial turnover of species pRDA coordinates showed significant effect in case of some arthropod orders</w:t>
      </w:r>
      <w:r>
        <w:rPr/>
        <w:commentReference w:id="10"/>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(Fig. S7)</w:t>
      </w:r>
      <w:r>
        <w:rPr>
          <w:rFonts w:cs="Times New Roman" w:ascii="Times New Roman" w:hAnsi="Times New Roman"/>
          <w:b w:val="false"/>
          <w:bCs w:val="false"/>
          <w:i w:val="false"/>
          <w:iCs w:val="false"/>
          <w:sz w:val="24"/>
          <w:szCs w:val="24"/>
        </w:rPr>
        <w:t xml:space="preserve"> whereas LRR analysis did not</w:t>
      </w:r>
      <w:r>
        <w:rPr/>
        <w:commentReference w:id="11"/>
      </w:r>
      <w:r>
        <w:rPr>
          <w:rFonts w:cs="Times New Roman" w:ascii="Times New Roman" w:hAnsi="Times New Roman"/>
          <w:b w:val="false"/>
          <w:bCs w:val="false"/>
          <w:i w:val="false"/>
          <w:iCs w:val="false"/>
          <w:sz w:val="24"/>
          <w:szCs w:val="24"/>
        </w:rPr>
        <w:t xml:space="preserve"> (</w:t>
      </w:r>
      <w:r>
        <w:rPr>
          <w:rFonts w:cs="Times New Roman" w:ascii="Times New Roman" w:hAnsi="Times New Roman"/>
          <w:b/>
          <w:bCs/>
          <w:i w:val="false"/>
          <w:iCs w:val="false"/>
          <w:sz w:val="24"/>
          <w:szCs w:val="24"/>
        </w:rPr>
        <w:t>Fig. S8</w:t>
      </w:r>
      <w:r>
        <w:rPr>
          <w:rFonts w:cs="Times New Roman" w:ascii="Times New Roman" w:hAnsi="Times New Roman"/>
          <w:b w:val="false"/>
          <w:bCs w:val="false"/>
          <w:i w:val="false"/>
          <w:iCs w:val="false"/>
          <w:sz w:val="24"/>
          <w:szCs w:val="24"/>
        </w:rPr>
        <w:t>). Ordination posits newcoming species as responding str</w:t>
      </w:r>
    </w:p>
    <w:p>
      <w:pPr>
        <w:pStyle w:val="Normal"/>
        <w:spacing w:lineRule="auto" w:line="480" w:before="0" w:after="0"/>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02T16:26:18Z" w:initials="">
    <w:p>
      <w:r>
        <w:rPr>
          <w:rFonts w:cs="Times New Roman" w:ascii="Times New Roman" w:hAnsi="Times New Roman"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0"/>
          <w:u w:val="none"/>
          <w:vertAlign w:val="baseline"/>
          <w:em w:val="none"/>
          <w:lang w:val="en-US" w:bidi="hi-IN" w:eastAsia="zh-CN"/>
        </w:rPr>
        <w:t xml:space="preserve">R square values for each group [will be on the plots]: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Aran 0.5510709,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Orth 0.5218044,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Cole 0.4573240,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Homo 0.2449465,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Lepi 0.3619261,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Mant 0.1385571, </w:t>
      </w:r>
    </w:p>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Hemi 0.6437053.</w:t>
      </w:r>
    </w:p>
  </w:comment>
  <w:comment w:id="1" w:author="Unknown Author" w:date="2021-01-30T17:35:07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[Make similar graphs for LRR of herbivores and IAPs.</w:t>
      </w:r>
    </w:p>
  </w:comment>
  <w:comment w:id="2" w:author="Unknown Author" w:date="2021-01-30T09:41:5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 performed two different ordination analyses. One for herbivores with covariates from IAP communitity (diversity, abundance, biomass, richness) and one for IAP with covariates from herbivore community. I should also perform one analysis for combined communitues of Herbivores and IAP, maybe there will be some patterns visible there? However I dont expect that it will be that case if separate analyses didnt show anything.</w:t>
      </w:r>
    </w:p>
  </w:comment>
  <w:comment w:id="3" w:author="Unknown Author" w:date="2021-01-30T11:08:12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Add number of observations above each box.</w:t>
      </w:r>
    </w:p>
  </w:comment>
  <w:comment w:id="4" w:author="Unknown Author" w:date="2021-02-05T08:51:54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Variation in LRR could matter as well. Coleoptera seem to varry most.</w:t>
      </w:r>
    </w:p>
  </w:comment>
  <w:comment w:id="5" w:author="Unknown Author" w:date="2021-01-30T08:58:50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[perform tests].</w:t>
      </w:r>
    </w:p>
  </w:comment>
  <w:comment w:id="6" w:author="Unknown Author" w:date="2021-02-02T16:45:3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There might be a problem here: In some cases I might have species present in more than 3 blocks for control and exclosure treatment but I treat species in each garden as an independent data.</w:t>
      </w:r>
    </w:p>
  </w:comment>
  <w:comment w:id="7" w:author="Unknown Author" w:date="2021-02-04T10:20:25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 xml:space="preserve">Generalist external feeders are expected to be limited mainly by their ablity to process plant biomass, and specialist sap sucking insects by a total available food resources (Schmitz, 2008). Due to this assumed resource limitation top-dow effects would and would not propagate down to plants respectively (Schmitz, 2010). </w:t>
      </w:r>
    </w:p>
  </w:comment>
  <w:comment w:id="8" w:author="Unknown Author" w:date="2021-02-04T10:24:38Z" w:initials="">
    <w:p>
      <w:r>
        <w:rPr>
          <w:rFonts w:ascii="Times New Roman" w:hAnsi="Times New Roman" w:cs="Times New Roman" w:eastAsia="Times New Roman"/>
          <w:b w:val="false"/>
          <w:bCs w:val="false"/>
          <w:i/>
          <w:iCs/>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bidi="hi-IN" w:eastAsia="zh-CN"/>
        </w:rPr>
        <w:t xml:space="preserve">Bird exclusion </w:t>
      </w:r>
      <w:r>
        <w:rPr>
          <w:rFonts w:ascii="Times New Roman" w:hAnsi="Times New Roman" w:cs="Times New Roman" w:eastAsia="Times New Roman"/>
          <w:b/>
          <w:bCs/>
          <w:i/>
          <w:iCs/>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bidi="hi-IN" w:eastAsia="zh-CN"/>
        </w:rPr>
        <w:t>increased herbivore density</w:t>
      </w:r>
      <w:r>
        <w:rPr>
          <w:rFonts w:ascii="Times New Roman" w:hAnsi="Times New Roman" w:cs="Times New Roman" w:eastAsia="Times New Roman"/>
          <w:b w:val="false"/>
          <w:bCs w:val="false"/>
          <w:i/>
          <w:iCs/>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GB" w:bidi="hi-IN" w:eastAsia="zh-CN"/>
        </w:rPr>
        <w:t xml:space="preserve"> with the same magnitude on both stages. Bottom‐up and top‐down impacts on herbivores can be influenced by plant productivity, structural complexity, vigor and size.</w:t>
      </w:r>
    </w:p>
  </w:comment>
  <w:comment w:id="9" w:author="Unknown Author" w:date="2021-02-04T15:45:34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How this would produce our results?</w:t>
      </w:r>
    </w:p>
  </w:comment>
  <w:comment w:id="10" w:author="Unknown Author" w:date="2021-01-30T17:53:58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[use lost-gained-stayed graph here]</w:t>
      </w:r>
    </w:p>
  </w:comment>
  <w:comment w:id="11" w:author="Unknown Author" w:date="2021-01-30T17:53:58Z" w:initials="">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[use lost-gained-stayed graph here]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DejaVu Sans Mono">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comments" Target="comments.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3478</TotalTime>
  <Application>LibreOffice/6.1.6.3$Linux_X86_64 LibreOffice_project/10$Build-3</Application>
  <Pages>19</Pages>
  <Words>1834</Words>
  <Characters>10506</Characters>
  <CharactersWithSpaces>12269</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2020-11-15T19:07:10Z</dcterms:created>
  <dc:creator/>
  <dc:description/>
  <dc:language>en-US</dc:language>
  <cp:lastModifiedBy/>
  <dcterms:modified xsi:type="dcterms:W3CDTF">2021-02-16T15:18:27Z</dcterms:modified>
  <cp:revision>500</cp:revision>
  <dc:subject/>
  <dc:title/>
</cp:coreProperties>
</file>