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Figure 1.</w:t>
      </w:r>
      <w:r>
        <w:rPr>
          <w:rFonts w:cs="Times New Roman" w:ascii="Times NEw Roman" w:hAnsi="Times NEw Roman"/>
          <w:sz w:val="24"/>
          <w:szCs w:val="24"/>
        </w:rPr>
        <w:t xml:space="preserve"> Mean and 95% bootstrapped CIs of the invertebrate </w:t>
      </w:r>
      <w:r>
        <w:rPr>
          <w:rFonts w:cs="Times New Roman" w:ascii="Times NEw Roman" w:hAnsi="Times NEw Roman"/>
          <w:sz w:val="24"/>
          <w:szCs w:val="24"/>
        </w:rPr>
        <w:t>herbivores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(H)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and arthropod predator </w:t>
      </w:r>
      <w:r>
        <w:rPr>
          <w:rFonts w:cs="Times New Roman" w:ascii="Times NEw Roman" w:hAnsi="Times NEw Roman"/>
          <w:sz w:val="24"/>
          <w:szCs w:val="24"/>
        </w:rPr>
        <w:t xml:space="preserve">(AP) </w:t>
      </w:r>
      <w:r>
        <w:rPr>
          <w:rFonts w:cs="Times New Roman" w:ascii="Times NEw Roman" w:hAnsi="Times NEw Roman"/>
          <w:sz w:val="24"/>
          <w:szCs w:val="24"/>
        </w:rPr>
        <w:t xml:space="preserve">community indices </w:t>
      </w:r>
      <w:r>
        <w:rPr>
          <w:rFonts w:cs="Times New Roman" w:ascii="Times NEw Roman" w:hAnsi="Times NEw Roman"/>
          <w:sz w:val="24"/>
          <w:szCs w:val="24"/>
        </w:rPr>
        <w:t xml:space="preserve">(A – </w:t>
      </w:r>
      <w:r>
        <w:rPr>
          <w:rFonts w:cs="Times New Roman" w:ascii="Times NEw Roman" w:hAnsi="Times NEw Roman"/>
          <w:sz w:val="24"/>
          <w:szCs w:val="24"/>
        </w:rPr>
        <w:t>no. of individuals</w:t>
      </w:r>
      <w:r>
        <w:rPr>
          <w:rFonts w:cs="Times New Roman" w:ascii="Times NEw Roman" w:hAnsi="Times NEw Roman"/>
          <w:sz w:val="24"/>
          <w:szCs w:val="24"/>
        </w:rPr>
        <w:t xml:space="preserve">, B – biomass </w:t>
      </w:r>
      <w:r>
        <w:rPr>
          <w:rFonts w:cs="Times New Roman" w:ascii="Times NEw Roman" w:hAnsi="Times NEw Roman"/>
          <w:sz w:val="24"/>
          <w:szCs w:val="24"/>
        </w:rPr>
        <w:t>in grams,</w:t>
      </w:r>
      <w:r>
        <w:rPr>
          <w:rFonts w:cs="Times New Roman" w:ascii="Times NEw Roman" w:hAnsi="Times NEw Roman"/>
          <w:sz w:val="24"/>
          <w:szCs w:val="24"/>
        </w:rPr>
        <w:t xml:space="preserve"> D – inverse Simpson diversity, R – number of species, </w:t>
      </w:r>
      <w:r>
        <w:rPr>
          <w:rFonts w:cs="Times New Roman" w:ascii="Times NEw Roman" w:hAnsi="Times NEw Roman"/>
          <w:sz w:val="24"/>
          <w:szCs w:val="24"/>
        </w:rPr>
        <w:t>Dens – density [individuals/m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]</w:t>
      </w:r>
      <w:r>
        <w:rPr>
          <w:rFonts w:cs="Times New Roman" w:ascii="Times NEw Roman" w:hAnsi="Times NEw Roman"/>
          <w:sz w:val="24"/>
          <w:szCs w:val="24"/>
        </w:rPr>
        <w:t xml:space="preserve">) </w:t>
      </w:r>
      <w:r>
        <w:rPr>
          <w:rFonts w:cs="Times New Roman" w:ascii="Times NEw Roman" w:hAnsi="Times NEw Roman"/>
          <w:sz w:val="24"/>
          <w:szCs w:val="24"/>
        </w:rPr>
        <w:t xml:space="preserve">in the control </w:t>
      </w:r>
      <w:r>
        <w:rPr>
          <w:rFonts w:cs="Times New Roman" w:ascii="Times NEw Roman" w:hAnsi="Times NEw Roman"/>
          <w:sz w:val="24"/>
          <w:szCs w:val="24"/>
        </w:rPr>
        <w:t xml:space="preserve">(C) </w:t>
      </w:r>
      <w:r>
        <w:rPr>
          <w:rFonts w:cs="Times New Roman" w:ascii="Times NEw Roman" w:hAnsi="Times NEw Roman"/>
          <w:sz w:val="24"/>
          <w:szCs w:val="24"/>
        </w:rPr>
        <w:t xml:space="preserve">and exclosure </w:t>
      </w:r>
      <w:r>
        <w:rPr>
          <w:rFonts w:cs="Times New Roman" w:ascii="Times NEw Roman" w:hAnsi="Times NEw Roman"/>
          <w:sz w:val="24"/>
          <w:szCs w:val="24"/>
        </w:rPr>
        <w:t xml:space="preserve">(Ex) </w:t>
      </w:r>
      <w:r>
        <w:rPr>
          <w:rFonts w:cs="Times New Roman" w:ascii="Times NEw Roman" w:hAnsi="Times NEw Roman"/>
          <w:sz w:val="24"/>
          <w:szCs w:val="24"/>
        </w:rPr>
        <w:t xml:space="preserve">plots. Grey points indicate empirical values for six experimental blocks, </w:t>
      </w:r>
      <w:r>
        <w:rPr>
          <w:rFonts w:cs="Times New Roman" w:ascii="Times NEw Roman" w:hAnsi="Times NEw Roman"/>
          <w:sz w:val="24"/>
          <w:szCs w:val="24"/>
        </w:rPr>
        <w:t>and dashed lines connect plots within blocks</w:t>
      </w:r>
      <w:r>
        <w:rPr>
          <w:rFonts w:cs="Times New Roman" w:ascii="Times NEw Roman" w:hAnsi="Times NEw Roman"/>
          <w:sz w:val="24"/>
          <w:szCs w:val="24"/>
        </w:rPr>
        <w:t xml:space="preserve">. Differences between means were tested using generalized mixed effect models with random </w:t>
      </w:r>
      <w:r>
        <w:rPr>
          <w:rFonts w:cs="Times New Roman" w:ascii="Times NEw Roman" w:hAnsi="Times NEw Roman"/>
          <w:sz w:val="24"/>
          <w:szCs w:val="24"/>
        </w:rPr>
        <w:t>effect of experimental block</w:t>
      </w:r>
      <w:r>
        <w:rPr>
          <w:rFonts w:cs="Times New Roman" w:ascii="Times NEw Roman" w:hAnsi="Times NEw Roman"/>
          <w:sz w:val="24"/>
          <w:szCs w:val="24"/>
        </w:rPr>
        <w:t>. Red color indicates significance at the α = 0.05, and yellow at the α = 0.1.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Figu</w:t>
      </w:r>
      <w:r>
        <w:rPr>
          <w:rFonts w:ascii="Times NEw Roman" w:hAnsi="Times NEw Roman"/>
          <w:sz w:val="24"/>
          <w:szCs w:val="24"/>
        </w:rPr>
        <w:commentReference w:id="0"/>
      </w:r>
      <w:r>
        <w:rPr>
          <w:rFonts w:cs="Times New Roman" w:ascii="Times NEw Roman" w:hAnsi="Times NEw Roman"/>
          <w:b/>
          <w:bCs/>
          <w:sz w:val="24"/>
          <w:szCs w:val="24"/>
        </w:rPr>
        <w:t>re 2.</w:t>
      </w:r>
      <w:r>
        <w:rPr>
          <w:rFonts w:cs="Times New Roman" w:ascii="Times NEw Roman" w:hAnsi="Times NEw Roman"/>
          <w:sz w:val="24"/>
          <w:szCs w:val="24"/>
        </w:rPr>
        <w:t xml:space="preserve"> Relationships for  predator effects on biomass (LRR – log response ratio) between different trophic levels in individual plots: A – herbivores vs plants; B – herbivores vs. IAPs; C) herbivore vs plants relationship broken into individual orders, and D) for IAPs divided into orders. Solid line represents significance at the α = 0.05 level and dashed line at the α = 0.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level. In case of significance 95% CIs are also plotted. 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5495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commentRangeStart w:id="1"/>
      <w:r>
        <w:rPr>
          <w:rFonts w:cs="Times New Roman" w:ascii="Times NEw Roman" w:hAnsi="Times NEw Roman"/>
          <w:b/>
          <w:bCs/>
          <w:sz w:val="24"/>
          <w:szCs w:val="24"/>
        </w:rPr>
        <w:t>Figure</w:t>
      </w:r>
      <w:r>
        <w:rPr>
          <w:rFonts w:ascii="Times NEw Roman" w:hAnsi="Times NEw Roman"/>
          <w:sz w:val="24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3</w:t>
      </w:r>
      <w:r>
        <w:rPr>
          <w:rFonts w:cs="Times New Roman" w:ascii="Times NEw Roman" w:hAnsi="Times NEw Roman"/>
          <w:sz w:val="24"/>
          <w:szCs w:val="24"/>
        </w:rPr>
        <w:t xml:space="preserve">. Pairwise </w:t>
      </w:r>
      <w:r>
        <w:rPr>
          <w:rFonts w:cs="Times New Roman" w:ascii="Times NEw Roman" w:hAnsi="Times NEw Roman"/>
          <w:sz w:val="24"/>
          <w:szCs w:val="24"/>
        </w:rPr>
        <w:t xml:space="preserve">Perason </w:t>
      </w:r>
      <w:r>
        <w:rPr>
          <w:rFonts w:cs="Times New Roman" w:ascii="Times NEw Roman" w:hAnsi="Times NEw Roman"/>
          <w:sz w:val="24"/>
          <w:szCs w:val="24"/>
        </w:rPr>
        <w:t>correlation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of the log response ratios (LRR) between studied </w:t>
      </w:r>
      <w:r>
        <w:rPr>
          <w:rFonts w:cs="Times New Roman" w:ascii="Times NEw Roman" w:hAnsi="Times NEw Roman"/>
          <w:sz w:val="24"/>
          <w:szCs w:val="24"/>
        </w:rPr>
        <w:t>arthropod</w:t>
      </w:r>
      <w:r>
        <w:rPr>
          <w:rFonts w:cs="Times New Roman" w:ascii="Times NEw Roman" w:hAnsi="Times NEw Roman"/>
          <w:sz w:val="24"/>
          <w:szCs w:val="24"/>
        </w:rPr>
        <w:t xml:space="preserve"> orders: </w:t>
      </w:r>
      <w:r>
        <w:rPr>
          <w:rFonts w:cs="Times New Roman" w:ascii="Times NEw Roman" w:hAnsi="Times NEw Roman"/>
          <w:sz w:val="24"/>
          <w:szCs w:val="24"/>
        </w:rPr>
        <w:t>LEPI – Lepidoptera; MANT – Mantodea; ORTH – Orthoptera; HEMI – Hemiptera; COLE – Coleoptera; ARAN – Aarneae; HETE – Heteroptera.</w:t>
      </w:r>
      <w:r>
        <w:rPr>
          <w:rFonts w:cs="Times New Roman" w:ascii="Times NEw Roman" w:hAnsi="Times NEw Roman"/>
          <w:sz w:val="24"/>
          <w:szCs w:val="24"/>
        </w:rPr>
        <w:t xml:space="preserve"> Significance is indicated </w:t>
      </w:r>
      <w:r>
        <w:rPr>
          <w:rFonts w:cs="Times New Roman" w:ascii="Times NEw Roman" w:hAnsi="Times NEw Roman"/>
          <w:sz w:val="24"/>
          <w:szCs w:val="24"/>
        </w:rPr>
        <w:t>with an</w:t>
      </w:r>
      <w:r>
        <w:rPr>
          <w:rFonts w:cs="Times New Roman" w:ascii="Times NEw Roman" w:hAnsi="Times NEw Roman"/>
          <w:sz w:val="24"/>
          <w:szCs w:val="24"/>
        </w:rPr>
        <w:t xml:space="preserve"> asterisks: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&lt;</w:t>
      </w:r>
      <w:r>
        <w:rPr>
          <w:rFonts w:cs="Times New Roman" w:ascii="Times NEw Roman" w:hAnsi="Times NEw Roman"/>
          <w:sz w:val="24"/>
          <w:szCs w:val="24"/>
        </w:rPr>
        <w:t xml:space="preserve"> 0.001 (***);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&lt;</w:t>
      </w:r>
      <w:r>
        <w:rPr>
          <w:rFonts w:cs="Times New Roman" w:ascii="Times NEw Roman" w:hAnsi="Times NEw Roman"/>
          <w:sz w:val="24"/>
          <w:szCs w:val="24"/>
        </w:rPr>
        <w:t xml:space="preserve"> 0.01 (**); p </w:t>
      </w:r>
      <w:r>
        <w:rPr>
          <w:rFonts w:cs="Times New Roman" w:ascii="Times NEw Roman" w:hAnsi="Times NEw Roman"/>
          <w:sz w:val="24"/>
          <w:szCs w:val="24"/>
        </w:rPr>
        <w:t>&lt;</w:t>
      </w:r>
      <w:r>
        <w:rPr>
          <w:rFonts w:cs="Times New Roman" w:ascii="Times NEw Roman" w:hAnsi="Times NEw Roman"/>
          <w:sz w:val="24"/>
          <w:szCs w:val="24"/>
        </w:rPr>
        <w:t xml:space="preserve"> 0.05 (*).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Figure 4</w:t>
      </w:r>
      <w:r>
        <w:rPr>
          <w:rFonts w:cs="Times New Roman" w:ascii="Times NEw Roman" w:hAnsi="Times NEw Roman"/>
          <w:sz w:val="24"/>
          <w:szCs w:val="24"/>
        </w:rPr>
        <w:t xml:space="preserve">. Mean and 95% </w:t>
      </w:r>
      <w:r>
        <w:rPr>
          <w:rFonts w:cs="Times New Roman" w:ascii="Times NEw Roman" w:hAnsi="Times NEw Roman"/>
          <w:sz w:val="24"/>
          <w:szCs w:val="24"/>
        </w:rPr>
        <w:t xml:space="preserve">bootstrapped </w:t>
      </w:r>
      <w:r>
        <w:rPr>
          <w:rFonts w:cs="Times New Roman" w:ascii="Times NEw Roman" w:hAnsi="Times NEw Roman"/>
          <w:sz w:val="24"/>
          <w:szCs w:val="24"/>
        </w:rPr>
        <w:t xml:space="preserve">CIs for different network descriptors in control </w:t>
      </w:r>
      <w:r>
        <w:rPr>
          <w:rFonts w:cs="Times New Roman" w:ascii="Times NEw Roman" w:hAnsi="Times NEw Roman"/>
          <w:sz w:val="24"/>
          <w:szCs w:val="24"/>
        </w:rPr>
        <w:t>(C)</w:t>
      </w:r>
      <w:r>
        <w:rPr>
          <w:rFonts w:cs="Times New Roman" w:ascii="Times NEw Roman" w:hAnsi="Times NEw Roman"/>
          <w:sz w:val="24"/>
          <w:szCs w:val="24"/>
        </w:rPr>
        <w:t xml:space="preserve"> and exclosure plots </w:t>
      </w:r>
      <w:r>
        <w:rPr>
          <w:rFonts w:cs="Times New Roman" w:ascii="Times NEw Roman" w:hAnsi="Times NEw Roman"/>
          <w:sz w:val="24"/>
          <w:szCs w:val="24"/>
        </w:rPr>
        <w:t>(Ex)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Grey dots represent empirical data. </w:t>
      </w:r>
      <w:r>
        <w:rPr>
          <w:rFonts w:cs="Times New Roman" w:ascii="Times NEw Roman" w:hAnsi="Times NEw Roman"/>
          <w:sz w:val="24"/>
          <w:szCs w:val="24"/>
        </w:rPr>
        <w:t xml:space="preserve">Dashed lines connect treatment plots within the same experimental block. </w:t>
      </w:r>
      <w:r>
        <w:rPr>
          <w:rFonts w:cs="Times New Roman" w:ascii="Times NEw Roman" w:hAnsi="Times NEw Roman"/>
          <w:sz w:val="24"/>
          <w:szCs w:val="24"/>
        </w:rPr>
        <w:t>Significance is indicated with red color (α = 0.05).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3-09T13:51:51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[FIGURE_3.R]</w:t>
      </w:r>
    </w:p>
  </w:comment>
  <w:comment w:id="1" w:author="Unknown Author" w:date="2021-03-09T13:52:47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[bio_log_ratio.R] line 579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BalloonTextChar">
    <w:name w:val="Balloon Text Char"/>
    <w:basedOn w:val="DefaultParagraphFont"/>
    <w:qFormat/>
    <w:rPr>
      <w:rFonts w:ascii="Segoe UI" w:hAnsi="Segoe UI" w:cs="Mangal"/>
      <w:sz w:val="18"/>
      <w:szCs w:val="16"/>
    </w:rPr>
  </w:style>
  <w:style w:type="character" w:styleId="CommentSubjectChar">
    <w:name w:val="Comment Subject Char"/>
    <w:basedOn w:val="CommentTextChar"/>
    <w:qFormat/>
    <w:rPr>
      <w:rFonts w:cs="Mangal"/>
      <w:b/>
      <w:bCs/>
      <w:sz w:val="20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Application>LibreOffice/6.1.6.3$Linux_X86_64 LibreOffice_project/10$Build-3</Application>
  <Pages>4</Pages>
  <Words>253</Words>
  <CharactersWithSpaces>1647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2021-02-23T12:05:00Z</dcterms:created>
  <dc:creator/>
  <dc:description/>
  <dc:language>en-US</dc:language>
  <cp:lastModifiedBy/>
  <dcterms:modified xsi:type="dcterms:W3CDTF">2021-04-02T15:16:45Z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