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2B" w:rsidRDefault="00FD112B" w:rsidP="00FD112B">
      <w:pPr>
        <w:ind w:left="180"/>
        <w:rPr>
          <w:rFonts w:ascii="Arial" w:hAnsi="Arial" w:cs="Arial"/>
          <w:sz w:val="22"/>
          <w:szCs w:val="22"/>
        </w:rPr>
      </w:pPr>
      <w:bookmarkStart w:id="0" w:name="_GoBack"/>
      <w:bookmarkEnd w:id="0"/>
      <w:proofErr w:type="gramStart"/>
      <w:r w:rsidRPr="00C50224">
        <w:rPr>
          <w:rFonts w:ascii="Arial" w:hAnsi="Arial" w:cs="Arial"/>
          <w:sz w:val="22"/>
          <w:szCs w:val="22"/>
        </w:rPr>
        <w:t>Training in the Responsible Conduct of Research (RCR).</w:t>
      </w:r>
      <w:proofErr w:type="gramEnd"/>
      <w:r w:rsidRPr="00C50224">
        <w:rPr>
          <w:rFonts w:ascii="Arial" w:hAnsi="Arial" w:cs="Arial"/>
          <w:sz w:val="22"/>
          <w:szCs w:val="22"/>
        </w:rPr>
        <w:t xml:space="preserve">    </w:t>
      </w:r>
    </w:p>
    <w:p w:rsidR="00B73AE1" w:rsidRPr="00C50224" w:rsidRDefault="00B73AE1" w:rsidP="00FD112B">
      <w:pPr>
        <w:ind w:left="180"/>
        <w:rPr>
          <w:rFonts w:ascii="Arial" w:hAnsi="Arial" w:cs="Arial"/>
          <w:sz w:val="22"/>
          <w:szCs w:val="22"/>
        </w:rPr>
      </w:pPr>
    </w:p>
    <w:p w:rsidR="00FD112B" w:rsidRPr="00C50224" w:rsidRDefault="00FD112B" w:rsidP="00FD112B">
      <w:pPr>
        <w:ind w:left="180"/>
        <w:rPr>
          <w:rFonts w:ascii="Arial" w:hAnsi="Arial" w:cs="Arial"/>
          <w:sz w:val="22"/>
          <w:szCs w:val="22"/>
        </w:rPr>
      </w:pPr>
    </w:p>
    <w:p w:rsidR="00AA3A59" w:rsidRDefault="00FD112B" w:rsidP="00FD112B">
      <w:pPr>
        <w:ind w:left="180"/>
        <w:rPr>
          <w:rFonts w:ascii="Arial" w:hAnsi="Arial" w:cs="Arial"/>
          <w:sz w:val="22"/>
          <w:szCs w:val="22"/>
        </w:rPr>
      </w:pPr>
      <w:r w:rsidRPr="00C50224">
        <w:rPr>
          <w:rFonts w:ascii="Arial" w:hAnsi="Arial" w:cs="Arial"/>
          <w:sz w:val="22"/>
          <w:szCs w:val="22"/>
        </w:rPr>
        <w:t xml:space="preserve">The RCR training requirement </w:t>
      </w:r>
      <w:r w:rsidRPr="00AA3A59">
        <w:rPr>
          <w:rFonts w:ascii="Arial" w:hAnsi="Arial" w:cs="Arial"/>
          <w:sz w:val="22"/>
          <w:szCs w:val="22"/>
        </w:rPr>
        <w:t>will be</w:t>
      </w:r>
      <w:r w:rsidRPr="00C50224">
        <w:rPr>
          <w:rFonts w:ascii="Arial" w:hAnsi="Arial" w:cs="Arial"/>
          <w:sz w:val="22"/>
          <w:szCs w:val="22"/>
        </w:rPr>
        <w:t xml:space="preserve"> met by successful completion of </w:t>
      </w:r>
      <w:r w:rsidR="00D7348A">
        <w:rPr>
          <w:rFonts w:ascii="Arial" w:hAnsi="Arial" w:cs="Arial"/>
          <w:sz w:val="22"/>
          <w:szCs w:val="22"/>
        </w:rPr>
        <w:t xml:space="preserve">one of </w:t>
      </w:r>
      <w:r w:rsidR="00AA3A59">
        <w:rPr>
          <w:rFonts w:ascii="Arial" w:hAnsi="Arial" w:cs="Arial"/>
          <w:sz w:val="22"/>
          <w:szCs w:val="22"/>
        </w:rPr>
        <w:t>two</w:t>
      </w:r>
      <w:r w:rsidR="00D7348A">
        <w:rPr>
          <w:rFonts w:ascii="Arial" w:hAnsi="Arial" w:cs="Arial"/>
          <w:sz w:val="22"/>
          <w:szCs w:val="22"/>
        </w:rPr>
        <w:t xml:space="preserve"> responsible conduct of </w:t>
      </w:r>
      <w:proofErr w:type="gramStart"/>
      <w:r w:rsidR="00D7348A">
        <w:rPr>
          <w:rFonts w:ascii="Arial" w:hAnsi="Arial" w:cs="Arial"/>
          <w:sz w:val="22"/>
          <w:szCs w:val="22"/>
        </w:rPr>
        <w:t>research</w:t>
      </w:r>
      <w:r w:rsidR="00AA3A59">
        <w:rPr>
          <w:rFonts w:ascii="Arial" w:hAnsi="Arial" w:cs="Arial"/>
          <w:sz w:val="22"/>
          <w:szCs w:val="22"/>
        </w:rPr>
        <w:t xml:space="preserve"> </w:t>
      </w:r>
      <w:r w:rsidR="00D7348A">
        <w:rPr>
          <w:rFonts w:ascii="Arial" w:hAnsi="Arial" w:cs="Arial"/>
          <w:sz w:val="22"/>
          <w:szCs w:val="22"/>
        </w:rPr>
        <w:t xml:space="preserve"> courses</w:t>
      </w:r>
      <w:proofErr w:type="gramEnd"/>
      <w:r w:rsidR="00D7348A">
        <w:rPr>
          <w:rFonts w:ascii="Arial" w:hAnsi="Arial" w:cs="Arial"/>
          <w:sz w:val="22"/>
          <w:szCs w:val="22"/>
        </w:rPr>
        <w:t xml:space="preserve"> offered by VCU (</w:t>
      </w:r>
      <w:r w:rsidR="00AA3A59">
        <w:rPr>
          <w:rFonts w:ascii="Arial" w:hAnsi="Arial" w:cs="Arial"/>
          <w:sz w:val="22"/>
          <w:szCs w:val="22"/>
        </w:rPr>
        <w:t>OVPR601 or OVPR602</w:t>
      </w:r>
      <w:r w:rsidR="00D7348A">
        <w:rPr>
          <w:rFonts w:ascii="Arial" w:hAnsi="Arial" w:cs="Arial"/>
          <w:sz w:val="22"/>
          <w:szCs w:val="22"/>
        </w:rPr>
        <w:t xml:space="preserve">).  </w:t>
      </w:r>
      <w:r w:rsidRPr="00C50224">
        <w:rPr>
          <w:rFonts w:ascii="Arial" w:hAnsi="Arial" w:cs="Arial"/>
          <w:sz w:val="22"/>
          <w:szCs w:val="22"/>
        </w:rPr>
        <w:t xml:space="preserve">  </w:t>
      </w:r>
      <w:r w:rsidR="00D7348A">
        <w:rPr>
          <w:rFonts w:ascii="Arial" w:hAnsi="Arial" w:cs="Arial"/>
          <w:sz w:val="22"/>
          <w:szCs w:val="22"/>
        </w:rPr>
        <w:t xml:space="preserve">Each of these </w:t>
      </w:r>
      <w:r w:rsidRPr="00C50224">
        <w:rPr>
          <w:rFonts w:ascii="Arial" w:hAnsi="Arial" w:cs="Arial"/>
          <w:sz w:val="22"/>
          <w:szCs w:val="22"/>
        </w:rPr>
        <w:t>one credit course</w:t>
      </w:r>
      <w:r w:rsidR="00D7348A">
        <w:rPr>
          <w:rFonts w:ascii="Arial" w:hAnsi="Arial" w:cs="Arial"/>
          <w:sz w:val="22"/>
          <w:szCs w:val="22"/>
        </w:rPr>
        <w:t>s</w:t>
      </w:r>
      <w:r w:rsidRPr="00C50224">
        <w:rPr>
          <w:rFonts w:ascii="Arial" w:hAnsi="Arial" w:cs="Arial"/>
          <w:sz w:val="22"/>
          <w:szCs w:val="22"/>
        </w:rPr>
        <w:t xml:space="preserve"> </w:t>
      </w:r>
      <w:r w:rsidR="00857E4C">
        <w:rPr>
          <w:rFonts w:ascii="Arial" w:hAnsi="Arial" w:cs="Arial"/>
          <w:sz w:val="22"/>
          <w:szCs w:val="22"/>
        </w:rPr>
        <w:t xml:space="preserve">covers </w:t>
      </w:r>
      <w:r w:rsidRPr="00C50224">
        <w:rPr>
          <w:rFonts w:ascii="Arial" w:hAnsi="Arial" w:cs="Arial"/>
          <w:sz w:val="22"/>
          <w:szCs w:val="22"/>
        </w:rPr>
        <w:t xml:space="preserve">contemporary issues relating to scientific integrity and </w:t>
      </w:r>
      <w:r w:rsidR="00AA3A59">
        <w:rPr>
          <w:rFonts w:ascii="Arial" w:hAnsi="Arial" w:cs="Arial"/>
          <w:sz w:val="22"/>
          <w:szCs w:val="22"/>
        </w:rPr>
        <w:t>responsible conduct in research</w:t>
      </w:r>
      <w:r w:rsidR="00233B8E">
        <w:rPr>
          <w:rFonts w:ascii="Arial" w:hAnsi="Arial" w:cs="Arial"/>
          <w:sz w:val="22"/>
          <w:szCs w:val="22"/>
        </w:rPr>
        <w:t xml:space="preserve"> (RCR)</w:t>
      </w:r>
      <w:r w:rsidR="00AA3A59">
        <w:rPr>
          <w:rFonts w:ascii="Arial" w:hAnsi="Arial" w:cs="Arial"/>
          <w:sz w:val="22"/>
          <w:szCs w:val="22"/>
        </w:rPr>
        <w:t xml:space="preserve">.  OVPR602 is offered </w:t>
      </w:r>
      <w:r w:rsidR="00790A51">
        <w:rPr>
          <w:rFonts w:ascii="Arial" w:hAnsi="Arial" w:cs="Arial"/>
          <w:sz w:val="22"/>
          <w:szCs w:val="22"/>
        </w:rPr>
        <w:t xml:space="preserve">annually </w:t>
      </w:r>
      <w:r w:rsidR="00AA3A59">
        <w:rPr>
          <w:rFonts w:ascii="Arial" w:hAnsi="Arial" w:cs="Arial"/>
          <w:sz w:val="22"/>
          <w:szCs w:val="22"/>
        </w:rPr>
        <w:t xml:space="preserve">in </w:t>
      </w:r>
      <w:r w:rsidR="00857E4C">
        <w:rPr>
          <w:rFonts w:ascii="Arial" w:hAnsi="Arial" w:cs="Arial"/>
          <w:sz w:val="22"/>
          <w:szCs w:val="22"/>
        </w:rPr>
        <w:t xml:space="preserve">both the spring and </w:t>
      </w:r>
      <w:r w:rsidR="00AA3A59">
        <w:rPr>
          <w:rFonts w:ascii="Arial" w:hAnsi="Arial" w:cs="Arial"/>
          <w:sz w:val="22"/>
          <w:szCs w:val="22"/>
        </w:rPr>
        <w:t xml:space="preserve">the summer </w:t>
      </w:r>
      <w:r w:rsidR="00A92235">
        <w:rPr>
          <w:rFonts w:ascii="Arial" w:hAnsi="Arial" w:cs="Arial"/>
          <w:sz w:val="22"/>
          <w:szCs w:val="22"/>
        </w:rPr>
        <w:t>semester</w:t>
      </w:r>
      <w:r w:rsidR="00857E4C">
        <w:rPr>
          <w:rFonts w:ascii="Arial" w:hAnsi="Arial" w:cs="Arial"/>
          <w:sz w:val="22"/>
          <w:szCs w:val="22"/>
        </w:rPr>
        <w:t>s</w:t>
      </w:r>
      <w:r w:rsidR="00A92235">
        <w:rPr>
          <w:rFonts w:ascii="Arial" w:hAnsi="Arial" w:cs="Arial"/>
          <w:sz w:val="22"/>
          <w:szCs w:val="22"/>
        </w:rPr>
        <w:t xml:space="preserve"> </w:t>
      </w:r>
      <w:r w:rsidR="00AA3A59">
        <w:rPr>
          <w:rFonts w:ascii="Arial" w:hAnsi="Arial" w:cs="Arial"/>
          <w:sz w:val="22"/>
          <w:szCs w:val="22"/>
        </w:rPr>
        <w:t xml:space="preserve">and </w:t>
      </w:r>
      <w:r w:rsidR="00A92235">
        <w:rPr>
          <w:rFonts w:ascii="Arial" w:hAnsi="Arial" w:cs="Arial"/>
          <w:sz w:val="22"/>
          <w:szCs w:val="22"/>
        </w:rPr>
        <w:t xml:space="preserve">OVPR601 is offered </w:t>
      </w:r>
      <w:r w:rsidR="00790A51">
        <w:rPr>
          <w:rFonts w:ascii="Arial" w:hAnsi="Arial" w:cs="Arial"/>
          <w:sz w:val="22"/>
          <w:szCs w:val="22"/>
        </w:rPr>
        <w:t xml:space="preserve">annually </w:t>
      </w:r>
      <w:r w:rsidR="00A92235">
        <w:rPr>
          <w:rFonts w:ascii="Arial" w:hAnsi="Arial" w:cs="Arial"/>
          <w:sz w:val="22"/>
          <w:szCs w:val="22"/>
        </w:rPr>
        <w:t>in the fall semester</w:t>
      </w:r>
      <w:r w:rsidR="00857E4C">
        <w:rPr>
          <w:rFonts w:ascii="Arial" w:hAnsi="Arial" w:cs="Arial"/>
          <w:sz w:val="22"/>
          <w:szCs w:val="22"/>
        </w:rPr>
        <w:t xml:space="preserve">.  Both of these courses are fully compliant with all aspects </w:t>
      </w:r>
      <w:proofErr w:type="gramStart"/>
      <w:r w:rsidR="00857E4C">
        <w:rPr>
          <w:rFonts w:ascii="Arial" w:hAnsi="Arial" w:cs="Arial"/>
          <w:sz w:val="22"/>
          <w:szCs w:val="22"/>
        </w:rPr>
        <w:t>of  NIH</w:t>
      </w:r>
      <w:proofErr w:type="gramEnd"/>
      <w:r w:rsidR="00857E4C">
        <w:rPr>
          <w:rFonts w:ascii="Arial" w:hAnsi="Arial" w:cs="Arial"/>
          <w:sz w:val="22"/>
          <w:szCs w:val="22"/>
        </w:rPr>
        <w:t xml:space="preserve"> RCR Instruction Guidelines  found at : (</w:t>
      </w:r>
      <w:hyperlink r:id="rId6" w:history="1">
        <w:r w:rsidR="00857E4C" w:rsidRPr="00823DDA">
          <w:rPr>
            <w:rStyle w:val="Hyperlink"/>
            <w:rFonts w:ascii="Arial" w:hAnsi="Arial" w:cs="Arial"/>
            <w:sz w:val="22"/>
            <w:szCs w:val="22"/>
          </w:rPr>
          <w:t>http://grants.nih.gov/grants/guide/notice-files/NOT-OD-10-019.html</w:t>
        </w:r>
      </w:hyperlink>
    </w:p>
    <w:p w:rsidR="00857E4C" w:rsidRDefault="00857E4C" w:rsidP="00FD112B">
      <w:pPr>
        <w:ind w:left="180"/>
        <w:rPr>
          <w:rFonts w:ascii="Arial" w:hAnsi="Arial" w:cs="Arial"/>
          <w:sz w:val="22"/>
          <w:szCs w:val="22"/>
        </w:rPr>
      </w:pPr>
    </w:p>
    <w:p w:rsidR="00A92235" w:rsidRPr="00C50224" w:rsidRDefault="00A92235" w:rsidP="00FD112B">
      <w:pPr>
        <w:ind w:left="180"/>
        <w:rPr>
          <w:rFonts w:ascii="Arial" w:hAnsi="Arial" w:cs="Arial"/>
          <w:sz w:val="22"/>
          <w:szCs w:val="22"/>
        </w:rPr>
      </w:pPr>
    </w:p>
    <w:p w:rsidR="00E71E35" w:rsidRPr="00FF6192" w:rsidRDefault="007204DF" w:rsidP="00FF6192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Course Format: </w:t>
      </w:r>
      <w:r w:rsidR="00FD112B" w:rsidRPr="00FF6192">
        <w:rPr>
          <w:rFonts w:ascii="Arial" w:hAnsi="Arial" w:cs="Arial"/>
          <w:sz w:val="22"/>
          <w:szCs w:val="22"/>
        </w:rPr>
        <w:t>The course</w:t>
      </w:r>
      <w:r w:rsidR="00D7348A">
        <w:rPr>
          <w:rFonts w:ascii="Arial" w:hAnsi="Arial" w:cs="Arial"/>
          <w:sz w:val="22"/>
          <w:szCs w:val="22"/>
        </w:rPr>
        <w:t xml:space="preserve">s are taught </w:t>
      </w:r>
      <w:proofErr w:type="gramStart"/>
      <w:r w:rsidR="001A6AD2">
        <w:rPr>
          <w:rFonts w:ascii="Arial" w:hAnsi="Arial" w:cs="Arial"/>
          <w:sz w:val="22"/>
          <w:szCs w:val="22"/>
        </w:rPr>
        <w:t xml:space="preserve">using </w:t>
      </w:r>
      <w:r w:rsidR="00D7348A">
        <w:rPr>
          <w:rFonts w:ascii="Arial" w:hAnsi="Arial" w:cs="Arial"/>
          <w:sz w:val="22"/>
          <w:szCs w:val="22"/>
        </w:rPr>
        <w:t xml:space="preserve"> in</w:t>
      </w:r>
      <w:proofErr w:type="gramEnd"/>
      <w:r w:rsidR="00D7348A">
        <w:rPr>
          <w:rFonts w:ascii="Arial" w:hAnsi="Arial" w:cs="Arial"/>
          <w:sz w:val="22"/>
          <w:szCs w:val="22"/>
        </w:rPr>
        <w:t>-class sessions</w:t>
      </w:r>
      <w:r w:rsidR="001A6AD2">
        <w:rPr>
          <w:rFonts w:ascii="Arial" w:hAnsi="Arial" w:cs="Arial"/>
          <w:sz w:val="22"/>
          <w:szCs w:val="22"/>
        </w:rPr>
        <w:t xml:space="preserve"> as well as some</w:t>
      </w:r>
      <w:r w:rsidR="00D7348A">
        <w:rPr>
          <w:rFonts w:ascii="Arial" w:hAnsi="Arial" w:cs="Arial"/>
          <w:sz w:val="22"/>
          <w:szCs w:val="22"/>
        </w:rPr>
        <w:t xml:space="preserve"> online reading and discussion.  </w:t>
      </w:r>
      <w:r w:rsidR="00FD112B" w:rsidRPr="00FF6192">
        <w:rPr>
          <w:rFonts w:ascii="Arial" w:hAnsi="Arial" w:cs="Arial"/>
          <w:sz w:val="22"/>
          <w:szCs w:val="22"/>
        </w:rPr>
        <w:t xml:space="preserve"> </w:t>
      </w:r>
      <w:r w:rsidR="00612EE8" w:rsidRPr="00FF6192">
        <w:rPr>
          <w:rFonts w:ascii="Arial" w:hAnsi="Arial" w:cs="Arial"/>
          <w:sz w:val="22"/>
          <w:szCs w:val="22"/>
        </w:rPr>
        <w:t xml:space="preserve">  </w:t>
      </w:r>
      <w:r w:rsidR="00C50224" w:rsidRPr="00FF6192">
        <w:rPr>
          <w:rFonts w:ascii="Arial" w:hAnsi="Arial" w:cs="Arial"/>
          <w:sz w:val="22"/>
          <w:szCs w:val="22"/>
        </w:rPr>
        <w:t>Classroom session</w:t>
      </w:r>
      <w:r w:rsidR="00B15EBE" w:rsidRPr="00FF6192">
        <w:rPr>
          <w:rFonts w:ascii="Arial" w:hAnsi="Arial" w:cs="Arial"/>
          <w:sz w:val="22"/>
          <w:szCs w:val="22"/>
        </w:rPr>
        <w:t>s</w:t>
      </w:r>
      <w:r w:rsidR="00EC2C06" w:rsidRPr="00FF6192">
        <w:rPr>
          <w:rFonts w:ascii="Arial" w:hAnsi="Arial" w:cs="Arial"/>
          <w:sz w:val="22"/>
          <w:szCs w:val="22"/>
        </w:rPr>
        <w:t xml:space="preserve"> are comprised of didactic </w:t>
      </w:r>
      <w:r w:rsidR="005345A7" w:rsidRPr="00FF6192">
        <w:rPr>
          <w:rFonts w:ascii="Arial" w:hAnsi="Arial" w:cs="Arial"/>
          <w:sz w:val="22"/>
          <w:szCs w:val="22"/>
        </w:rPr>
        <w:t xml:space="preserve">presentations which are linked </w:t>
      </w:r>
      <w:r w:rsidR="00C50224" w:rsidRPr="00FF6192">
        <w:rPr>
          <w:rFonts w:ascii="Arial" w:hAnsi="Arial" w:cs="Arial"/>
          <w:sz w:val="22"/>
          <w:szCs w:val="22"/>
        </w:rPr>
        <w:t>to small group discussions of case studies</w:t>
      </w:r>
      <w:r w:rsidR="00A92235">
        <w:rPr>
          <w:rFonts w:ascii="Arial" w:hAnsi="Arial" w:cs="Arial"/>
          <w:sz w:val="22"/>
          <w:szCs w:val="22"/>
        </w:rPr>
        <w:t xml:space="preserve"> (these activities comprise 8 in-person contact hours).</w:t>
      </w:r>
      <w:r w:rsidR="00C50224" w:rsidRPr="00FF6192">
        <w:rPr>
          <w:rFonts w:ascii="Arial" w:hAnsi="Arial" w:cs="Arial"/>
          <w:sz w:val="22"/>
          <w:szCs w:val="22"/>
        </w:rPr>
        <w:t xml:space="preserve">  </w:t>
      </w:r>
      <w:r w:rsidR="00EC2C06" w:rsidRPr="00FF6192">
        <w:rPr>
          <w:rFonts w:ascii="Arial" w:hAnsi="Arial" w:cs="Arial"/>
          <w:sz w:val="22"/>
          <w:szCs w:val="22"/>
        </w:rPr>
        <w:t>Didactic pres</w:t>
      </w:r>
      <w:r w:rsidR="00065810">
        <w:rPr>
          <w:rFonts w:ascii="Arial" w:hAnsi="Arial" w:cs="Arial"/>
          <w:sz w:val="22"/>
          <w:szCs w:val="22"/>
        </w:rPr>
        <w:t>entations are made to the</w:t>
      </w:r>
      <w:r w:rsidR="00EC2C06" w:rsidRPr="00FF6192">
        <w:rPr>
          <w:rFonts w:ascii="Arial" w:hAnsi="Arial" w:cs="Arial"/>
          <w:sz w:val="22"/>
          <w:szCs w:val="22"/>
        </w:rPr>
        <w:t xml:space="preserve"> class </w:t>
      </w:r>
      <w:r w:rsidR="00065810">
        <w:rPr>
          <w:rFonts w:ascii="Arial" w:hAnsi="Arial" w:cs="Arial"/>
          <w:sz w:val="22"/>
          <w:szCs w:val="22"/>
        </w:rPr>
        <w:t xml:space="preserve">in a plenary session.  </w:t>
      </w:r>
      <w:r w:rsidR="00EC2C06" w:rsidRPr="00FF6192">
        <w:rPr>
          <w:rFonts w:ascii="Arial" w:hAnsi="Arial" w:cs="Arial"/>
          <w:sz w:val="22"/>
          <w:szCs w:val="22"/>
        </w:rPr>
        <w:t>Learning-centered approaches are used to engage students in the classroom</w:t>
      </w:r>
      <w:r w:rsidR="00715A4C" w:rsidRPr="00FF6192">
        <w:rPr>
          <w:rFonts w:ascii="Arial" w:hAnsi="Arial" w:cs="Arial"/>
          <w:sz w:val="22"/>
          <w:szCs w:val="22"/>
        </w:rPr>
        <w:t xml:space="preserve"> during these presentations</w:t>
      </w:r>
      <w:r w:rsidR="00EC2C06" w:rsidRPr="00FF6192">
        <w:rPr>
          <w:rFonts w:ascii="Arial" w:hAnsi="Arial" w:cs="Arial"/>
          <w:sz w:val="22"/>
          <w:szCs w:val="22"/>
        </w:rPr>
        <w:t>.  Examples of strategies and techniques to accomplish this include:  1) completion of survey instruments prior</w:t>
      </w:r>
      <w:r w:rsidR="00715A4C" w:rsidRPr="00FF6192">
        <w:rPr>
          <w:rFonts w:ascii="Arial" w:hAnsi="Arial" w:cs="Arial"/>
          <w:sz w:val="22"/>
          <w:szCs w:val="22"/>
        </w:rPr>
        <w:t xml:space="preserve"> to</w:t>
      </w:r>
      <w:r w:rsidR="00EC2C06" w:rsidRPr="00FF6192">
        <w:rPr>
          <w:rFonts w:ascii="Arial" w:hAnsi="Arial" w:cs="Arial"/>
          <w:sz w:val="22"/>
          <w:szCs w:val="22"/>
        </w:rPr>
        <w:t xml:space="preserve"> or during class to probe attitudes and knowledge about relevant topics followed by student-led interpretation and </w:t>
      </w:r>
      <w:r w:rsidR="00715A4C" w:rsidRPr="00FF6192">
        <w:rPr>
          <w:rFonts w:ascii="Arial" w:hAnsi="Arial" w:cs="Arial"/>
          <w:sz w:val="22"/>
          <w:szCs w:val="22"/>
        </w:rPr>
        <w:t>discussion of results</w:t>
      </w:r>
      <w:proofErr w:type="gramStart"/>
      <w:r w:rsidR="00715A4C" w:rsidRPr="00FF6192">
        <w:rPr>
          <w:rFonts w:ascii="Arial" w:hAnsi="Arial" w:cs="Arial"/>
          <w:sz w:val="22"/>
          <w:szCs w:val="22"/>
        </w:rPr>
        <w:t>;  2</w:t>
      </w:r>
      <w:proofErr w:type="gramEnd"/>
      <w:r w:rsidR="00715A4C" w:rsidRPr="00FF6192">
        <w:rPr>
          <w:rFonts w:ascii="Arial" w:hAnsi="Arial" w:cs="Arial"/>
          <w:sz w:val="22"/>
          <w:szCs w:val="22"/>
        </w:rPr>
        <w:t xml:space="preserve">)  student-led discussion of general questions found at the end of each chapter in the text (see below); and 3) student-led discussion of relevant current events covered in the print media.  Following </w:t>
      </w:r>
      <w:r w:rsidR="00065810">
        <w:rPr>
          <w:rFonts w:ascii="Arial" w:hAnsi="Arial" w:cs="Arial"/>
          <w:sz w:val="22"/>
          <w:szCs w:val="22"/>
        </w:rPr>
        <w:t xml:space="preserve">every </w:t>
      </w:r>
      <w:r w:rsidR="00715A4C" w:rsidRPr="00FF6192">
        <w:rPr>
          <w:rFonts w:ascii="Arial" w:hAnsi="Arial" w:cs="Arial"/>
          <w:sz w:val="22"/>
          <w:szCs w:val="22"/>
        </w:rPr>
        <w:t>didactic presentation, break-out groups convene to discuss assigned short cases that ref</w:t>
      </w:r>
      <w:r w:rsidR="00065810">
        <w:rPr>
          <w:rFonts w:ascii="Arial" w:hAnsi="Arial" w:cs="Arial"/>
          <w:sz w:val="22"/>
          <w:szCs w:val="22"/>
        </w:rPr>
        <w:t>lect the content of the</w:t>
      </w:r>
      <w:r w:rsidR="00715A4C" w:rsidRPr="00FF6192">
        <w:rPr>
          <w:rFonts w:ascii="Arial" w:hAnsi="Arial" w:cs="Arial"/>
          <w:sz w:val="22"/>
          <w:szCs w:val="22"/>
        </w:rPr>
        <w:t xml:space="preserve"> presentation. </w:t>
      </w:r>
      <w:r w:rsidR="00065810">
        <w:rPr>
          <w:rFonts w:ascii="Arial" w:hAnsi="Arial" w:cs="Arial"/>
          <w:sz w:val="22"/>
          <w:szCs w:val="22"/>
        </w:rPr>
        <w:t>Maximum g</w:t>
      </w:r>
      <w:r w:rsidR="00FD112B" w:rsidRPr="00FF6192">
        <w:rPr>
          <w:rFonts w:ascii="Arial" w:hAnsi="Arial" w:cs="Arial"/>
          <w:sz w:val="22"/>
          <w:szCs w:val="22"/>
        </w:rPr>
        <w:t>roup size for case discussion</w:t>
      </w:r>
      <w:r w:rsidR="00065810">
        <w:rPr>
          <w:rFonts w:ascii="Arial" w:hAnsi="Arial" w:cs="Arial"/>
          <w:sz w:val="22"/>
          <w:szCs w:val="22"/>
        </w:rPr>
        <w:t xml:space="preserve"> sessions is </w:t>
      </w:r>
      <w:r w:rsidR="005F3C50">
        <w:rPr>
          <w:rFonts w:ascii="Arial" w:hAnsi="Arial" w:cs="Arial"/>
          <w:sz w:val="22"/>
          <w:szCs w:val="22"/>
        </w:rPr>
        <w:t>8</w:t>
      </w:r>
      <w:r w:rsidR="001A6AD2">
        <w:rPr>
          <w:rFonts w:ascii="Arial" w:hAnsi="Arial" w:cs="Arial"/>
          <w:sz w:val="22"/>
          <w:szCs w:val="22"/>
        </w:rPr>
        <w:t>-10</w:t>
      </w:r>
      <w:r w:rsidR="00FD112B" w:rsidRPr="00FF6192">
        <w:rPr>
          <w:rFonts w:ascii="Arial" w:hAnsi="Arial" w:cs="Arial"/>
          <w:sz w:val="22"/>
          <w:szCs w:val="22"/>
        </w:rPr>
        <w:t xml:space="preserve"> students, and a faculty member</w:t>
      </w:r>
      <w:r w:rsidR="00790A51">
        <w:rPr>
          <w:rFonts w:ascii="Arial" w:hAnsi="Arial" w:cs="Arial"/>
          <w:sz w:val="22"/>
          <w:szCs w:val="22"/>
        </w:rPr>
        <w:t xml:space="preserve"> (see below) </w:t>
      </w:r>
      <w:r w:rsidR="00FD112B" w:rsidRPr="00FF6192">
        <w:rPr>
          <w:rFonts w:ascii="Arial" w:hAnsi="Arial" w:cs="Arial"/>
          <w:sz w:val="22"/>
          <w:szCs w:val="22"/>
        </w:rPr>
        <w:t xml:space="preserve"> is always present </w:t>
      </w:r>
      <w:r w:rsidR="00715A4C" w:rsidRPr="00FF6192">
        <w:rPr>
          <w:rFonts w:ascii="Arial" w:hAnsi="Arial" w:cs="Arial"/>
          <w:sz w:val="22"/>
          <w:szCs w:val="22"/>
        </w:rPr>
        <w:t xml:space="preserve">to serve as a facilitator as the students discuss cases and propose solutions to the dilemmas presented in these 200-300 word scenarios. </w:t>
      </w:r>
    </w:p>
    <w:p w:rsidR="00E71E35" w:rsidRDefault="00E71E35" w:rsidP="00FD112B">
      <w:pPr>
        <w:ind w:left="180"/>
        <w:rPr>
          <w:rFonts w:ascii="Arial" w:hAnsi="Arial" w:cs="Arial"/>
          <w:sz w:val="22"/>
          <w:szCs w:val="22"/>
        </w:rPr>
      </w:pPr>
    </w:p>
    <w:p w:rsidR="00715A4C" w:rsidRDefault="00715A4C" w:rsidP="00FD112B">
      <w:pPr>
        <w:ind w:left="180"/>
        <w:rPr>
          <w:rFonts w:ascii="Arial" w:hAnsi="Arial" w:cs="Arial"/>
          <w:sz w:val="22"/>
          <w:szCs w:val="22"/>
        </w:rPr>
      </w:pPr>
    </w:p>
    <w:p w:rsidR="00FD112B" w:rsidRPr="00C50224" w:rsidRDefault="001A6AD2" w:rsidP="00FD112B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course grade</w:t>
      </w:r>
      <w:r w:rsidR="00FD112B" w:rsidRPr="00C50224">
        <w:rPr>
          <w:rFonts w:ascii="Arial" w:hAnsi="Arial" w:cs="Arial"/>
          <w:sz w:val="22"/>
          <w:szCs w:val="22"/>
        </w:rPr>
        <w:t xml:space="preserve"> is determined base</w:t>
      </w:r>
      <w:r w:rsidR="00E71E35">
        <w:rPr>
          <w:rFonts w:ascii="Arial" w:hAnsi="Arial" w:cs="Arial"/>
          <w:sz w:val="22"/>
          <w:szCs w:val="22"/>
        </w:rPr>
        <w:t xml:space="preserve">d </w:t>
      </w:r>
      <w:r w:rsidR="00065810">
        <w:rPr>
          <w:rFonts w:ascii="Arial" w:hAnsi="Arial" w:cs="Arial"/>
          <w:sz w:val="22"/>
          <w:szCs w:val="22"/>
        </w:rPr>
        <w:t>on attendance</w:t>
      </w:r>
      <w:proofErr w:type="gramStart"/>
      <w:r w:rsidR="0006581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 assignments</w:t>
      </w:r>
      <w:proofErr w:type="gramEnd"/>
      <w:r>
        <w:rPr>
          <w:rFonts w:ascii="Arial" w:hAnsi="Arial" w:cs="Arial"/>
          <w:sz w:val="22"/>
          <w:szCs w:val="22"/>
        </w:rPr>
        <w:t xml:space="preserve"> as case leaders, and</w:t>
      </w:r>
      <w:r w:rsidR="00065810">
        <w:rPr>
          <w:rFonts w:ascii="Arial" w:hAnsi="Arial" w:cs="Arial"/>
          <w:sz w:val="22"/>
          <w:szCs w:val="22"/>
        </w:rPr>
        <w:t xml:space="preserve"> </w:t>
      </w:r>
      <w:r w:rsidR="00FD112B" w:rsidRPr="00C50224">
        <w:rPr>
          <w:rFonts w:ascii="Arial" w:hAnsi="Arial" w:cs="Arial"/>
          <w:sz w:val="22"/>
          <w:szCs w:val="22"/>
        </w:rPr>
        <w:t>class pa</w:t>
      </w:r>
      <w:r w:rsidR="00065810">
        <w:rPr>
          <w:rFonts w:ascii="Arial" w:hAnsi="Arial" w:cs="Arial"/>
          <w:sz w:val="22"/>
          <w:szCs w:val="22"/>
        </w:rPr>
        <w:t xml:space="preserve">rticipation, </w:t>
      </w:r>
      <w:r>
        <w:rPr>
          <w:rFonts w:ascii="Arial" w:hAnsi="Arial" w:cs="Arial"/>
          <w:sz w:val="22"/>
          <w:szCs w:val="22"/>
        </w:rPr>
        <w:t>or</w:t>
      </w:r>
      <w:r w:rsidR="00FD112B" w:rsidRPr="00C50224">
        <w:rPr>
          <w:rFonts w:ascii="Arial" w:hAnsi="Arial" w:cs="Arial"/>
          <w:sz w:val="22"/>
          <w:szCs w:val="22"/>
        </w:rPr>
        <w:t xml:space="preserve"> a writing assignment (examples</w:t>
      </w:r>
      <w:r w:rsidR="00C50224">
        <w:rPr>
          <w:rFonts w:ascii="Arial" w:hAnsi="Arial" w:cs="Arial"/>
          <w:sz w:val="22"/>
          <w:szCs w:val="22"/>
        </w:rPr>
        <w:t xml:space="preserve"> </w:t>
      </w:r>
      <w:r w:rsidR="009C2FE1">
        <w:rPr>
          <w:rFonts w:ascii="Arial" w:hAnsi="Arial" w:cs="Arial"/>
          <w:sz w:val="22"/>
          <w:szCs w:val="22"/>
        </w:rPr>
        <w:t xml:space="preserve">include </w:t>
      </w:r>
      <w:r w:rsidR="00C50224">
        <w:rPr>
          <w:rFonts w:ascii="Arial" w:hAnsi="Arial" w:cs="Arial"/>
          <w:sz w:val="22"/>
          <w:szCs w:val="22"/>
        </w:rPr>
        <w:t xml:space="preserve">online written responses to case studies </w:t>
      </w:r>
      <w:r w:rsidR="009C2FE1">
        <w:rPr>
          <w:rFonts w:ascii="Arial" w:hAnsi="Arial" w:cs="Arial"/>
          <w:sz w:val="22"/>
          <w:szCs w:val="22"/>
        </w:rPr>
        <w:t xml:space="preserve">using </w:t>
      </w:r>
      <w:r w:rsidR="00E71E35">
        <w:rPr>
          <w:rFonts w:ascii="Arial" w:hAnsi="Arial" w:cs="Arial"/>
          <w:sz w:val="22"/>
          <w:szCs w:val="22"/>
        </w:rPr>
        <w:t>the above-described</w:t>
      </w:r>
      <w:r w:rsidR="00C50224">
        <w:rPr>
          <w:rFonts w:ascii="Arial" w:hAnsi="Arial" w:cs="Arial"/>
          <w:sz w:val="22"/>
          <w:szCs w:val="22"/>
        </w:rPr>
        <w:t xml:space="preserve"> blog-type platform</w:t>
      </w:r>
      <w:r w:rsidR="009C2FE1">
        <w:rPr>
          <w:rFonts w:ascii="Arial" w:hAnsi="Arial" w:cs="Arial"/>
          <w:sz w:val="22"/>
          <w:szCs w:val="22"/>
        </w:rPr>
        <w:t xml:space="preserve"> that allows student-student and student-instructor interactions</w:t>
      </w:r>
      <w:r w:rsidR="00B15EBE">
        <w:rPr>
          <w:rFonts w:ascii="Arial" w:hAnsi="Arial" w:cs="Arial"/>
          <w:sz w:val="22"/>
          <w:szCs w:val="22"/>
        </w:rPr>
        <w:t>,</w:t>
      </w:r>
      <w:r w:rsidR="00BA2728">
        <w:rPr>
          <w:rFonts w:ascii="Arial" w:hAnsi="Arial" w:cs="Arial"/>
          <w:sz w:val="22"/>
          <w:szCs w:val="22"/>
        </w:rPr>
        <w:t xml:space="preserve"> </w:t>
      </w:r>
      <w:r w:rsidR="00FD112B" w:rsidRPr="00C50224">
        <w:rPr>
          <w:rFonts w:ascii="Arial" w:hAnsi="Arial" w:cs="Arial"/>
          <w:sz w:val="22"/>
          <w:szCs w:val="22"/>
        </w:rPr>
        <w:t>writing a solution to a complex case</w:t>
      </w:r>
      <w:r w:rsidR="00B15EBE">
        <w:rPr>
          <w:rFonts w:ascii="Arial" w:hAnsi="Arial" w:cs="Arial"/>
          <w:sz w:val="22"/>
          <w:szCs w:val="22"/>
        </w:rPr>
        <w:t xml:space="preserve"> scenario</w:t>
      </w:r>
      <w:r w:rsidR="00FD112B" w:rsidRPr="00C50224">
        <w:rPr>
          <w:rFonts w:ascii="Arial" w:hAnsi="Arial" w:cs="Arial"/>
          <w:sz w:val="22"/>
          <w:szCs w:val="22"/>
        </w:rPr>
        <w:t xml:space="preserve">, composing new cases and proposing solutions,  </w:t>
      </w:r>
      <w:r w:rsidR="00C50224">
        <w:rPr>
          <w:rFonts w:ascii="Arial" w:hAnsi="Arial" w:cs="Arial"/>
          <w:sz w:val="22"/>
          <w:szCs w:val="22"/>
        </w:rPr>
        <w:t xml:space="preserve">or </w:t>
      </w:r>
      <w:r w:rsidR="00FD112B" w:rsidRPr="00C50224">
        <w:rPr>
          <w:rFonts w:ascii="Arial" w:hAnsi="Arial" w:cs="Arial"/>
          <w:sz w:val="22"/>
          <w:szCs w:val="22"/>
        </w:rPr>
        <w:t xml:space="preserve">writing a </w:t>
      </w:r>
      <w:r w:rsidR="00B15EBE">
        <w:rPr>
          <w:rFonts w:ascii="Arial" w:hAnsi="Arial" w:cs="Arial"/>
          <w:sz w:val="22"/>
          <w:szCs w:val="22"/>
        </w:rPr>
        <w:t xml:space="preserve">short </w:t>
      </w:r>
      <w:r w:rsidR="00FD112B" w:rsidRPr="00C50224">
        <w:rPr>
          <w:rFonts w:ascii="Arial" w:hAnsi="Arial" w:cs="Arial"/>
          <w:sz w:val="22"/>
          <w:szCs w:val="22"/>
        </w:rPr>
        <w:t>position</w:t>
      </w:r>
      <w:r w:rsidR="00C50224">
        <w:rPr>
          <w:rFonts w:ascii="Arial" w:hAnsi="Arial" w:cs="Arial"/>
          <w:sz w:val="22"/>
          <w:szCs w:val="22"/>
        </w:rPr>
        <w:t xml:space="preserve"> paper on a relevant topic</w:t>
      </w:r>
      <w:r w:rsidR="00FD112B" w:rsidRPr="00C50224">
        <w:rPr>
          <w:rFonts w:ascii="Arial" w:hAnsi="Arial" w:cs="Arial"/>
          <w:sz w:val="22"/>
          <w:szCs w:val="22"/>
        </w:rPr>
        <w:t xml:space="preserve">).  </w:t>
      </w:r>
      <w:r w:rsidR="00C50224">
        <w:rPr>
          <w:rFonts w:ascii="Arial" w:hAnsi="Arial" w:cs="Arial"/>
          <w:sz w:val="22"/>
          <w:szCs w:val="22"/>
        </w:rPr>
        <w:t>Attendance at in-class sessions is mandatory; excused absences are permitted (</w:t>
      </w:r>
      <w:r w:rsidR="00E71E35">
        <w:rPr>
          <w:rFonts w:ascii="Arial" w:hAnsi="Arial" w:cs="Arial"/>
          <w:sz w:val="22"/>
          <w:szCs w:val="22"/>
        </w:rPr>
        <w:t xml:space="preserve">e.g., for </w:t>
      </w:r>
      <w:r w:rsidR="00C50224">
        <w:rPr>
          <w:rFonts w:ascii="Arial" w:hAnsi="Arial" w:cs="Arial"/>
          <w:sz w:val="22"/>
          <w:szCs w:val="22"/>
        </w:rPr>
        <w:t xml:space="preserve">illness, emergencies) but must be offset with an acceptable </w:t>
      </w:r>
      <w:r w:rsidR="00B15EBE">
        <w:rPr>
          <w:rFonts w:ascii="Arial" w:hAnsi="Arial" w:cs="Arial"/>
          <w:sz w:val="22"/>
          <w:szCs w:val="22"/>
        </w:rPr>
        <w:t xml:space="preserve">makeup </w:t>
      </w:r>
      <w:r w:rsidR="00C50224">
        <w:rPr>
          <w:rFonts w:ascii="Arial" w:hAnsi="Arial" w:cs="Arial"/>
          <w:sz w:val="22"/>
          <w:szCs w:val="22"/>
        </w:rPr>
        <w:t>writing assignment, prescribed by the course director.</w:t>
      </w:r>
    </w:p>
    <w:p w:rsidR="00FD112B" w:rsidRPr="00C50224" w:rsidRDefault="00FD112B" w:rsidP="00FD112B">
      <w:pPr>
        <w:ind w:left="180"/>
        <w:rPr>
          <w:rFonts w:ascii="Arial" w:hAnsi="Arial" w:cs="Arial"/>
          <w:sz w:val="22"/>
          <w:szCs w:val="22"/>
        </w:rPr>
      </w:pPr>
    </w:p>
    <w:p w:rsidR="00FF6192" w:rsidRDefault="00FD112B" w:rsidP="00FD112B">
      <w:pPr>
        <w:ind w:left="180"/>
        <w:rPr>
          <w:rFonts w:ascii="Arial" w:hAnsi="Arial" w:cs="Arial"/>
          <w:sz w:val="22"/>
          <w:szCs w:val="22"/>
        </w:rPr>
      </w:pPr>
      <w:r w:rsidRPr="00C50224">
        <w:rPr>
          <w:rFonts w:ascii="Arial" w:hAnsi="Arial" w:cs="Arial"/>
          <w:i/>
          <w:sz w:val="22"/>
          <w:szCs w:val="22"/>
        </w:rPr>
        <w:t>Subject Matter:</w:t>
      </w:r>
      <w:r w:rsidRPr="00C50224">
        <w:rPr>
          <w:rFonts w:ascii="Arial" w:hAnsi="Arial" w:cs="Arial"/>
          <w:sz w:val="22"/>
          <w:szCs w:val="22"/>
        </w:rPr>
        <w:t xml:space="preserve">  </w:t>
      </w:r>
      <w:r w:rsidR="00FF6192">
        <w:rPr>
          <w:rFonts w:ascii="Arial" w:hAnsi="Arial" w:cs="Arial"/>
          <w:sz w:val="22"/>
          <w:szCs w:val="22"/>
        </w:rPr>
        <w:t>The course uses</w:t>
      </w:r>
      <w:r w:rsidR="00FF6192" w:rsidRPr="00C50224">
        <w:rPr>
          <w:rFonts w:ascii="Arial" w:hAnsi="Arial" w:cs="Arial"/>
          <w:sz w:val="22"/>
          <w:szCs w:val="22"/>
        </w:rPr>
        <w:t xml:space="preserve"> </w:t>
      </w:r>
      <w:r w:rsidR="00FF6192" w:rsidRPr="00C50224">
        <w:rPr>
          <w:rFonts w:ascii="Arial" w:hAnsi="Arial" w:cs="Arial"/>
          <w:i/>
          <w:sz w:val="22"/>
          <w:szCs w:val="22"/>
        </w:rPr>
        <w:t>Scientific Integrity:  Text and Cases in Responsible C</w:t>
      </w:r>
      <w:r w:rsidR="00FF6192">
        <w:rPr>
          <w:rFonts w:ascii="Arial" w:hAnsi="Arial" w:cs="Arial"/>
          <w:i/>
          <w:sz w:val="22"/>
          <w:szCs w:val="22"/>
        </w:rPr>
        <w:t xml:space="preserve">onduct of Research </w:t>
      </w:r>
      <w:r w:rsidR="001A6AD2">
        <w:rPr>
          <w:rFonts w:ascii="Arial" w:hAnsi="Arial" w:cs="Arial"/>
          <w:i/>
          <w:sz w:val="22"/>
          <w:szCs w:val="22"/>
        </w:rPr>
        <w:t>4</w:t>
      </w:r>
      <w:r w:rsidR="001A6AD2" w:rsidRPr="001A6AD2">
        <w:rPr>
          <w:rFonts w:ascii="Arial" w:hAnsi="Arial" w:cs="Arial"/>
          <w:i/>
          <w:sz w:val="22"/>
          <w:szCs w:val="22"/>
          <w:vertAlign w:val="superscript"/>
        </w:rPr>
        <w:t>th</w:t>
      </w:r>
      <w:r w:rsidR="001A6AD2">
        <w:rPr>
          <w:rFonts w:ascii="Arial" w:hAnsi="Arial" w:cs="Arial"/>
          <w:i/>
          <w:sz w:val="22"/>
          <w:szCs w:val="22"/>
        </w:rPr>
        <w:t xml:space="preserve"> Edition</w:t>
      </w:r>
      <w:r w:rsidR="00FF6192">
        <w:rPr>
          <w:rFonts w:ascii="Arial" w:hAnsi="Arial" w:cs="Arial"/>
          <w:i/>
          <w:sz w:val="22"/>
          <w:szCs w:val="22"/>
        </w:rPr>
        <w:t xml:space="preserve"> </w:t>
      </w:r>
      <w:r w:rsidR="00FF6192" w:rsidRPr="00C50224">
        <w:rPr>
          <w:rFonts w:ascii="Arial" w:hAnsi="Arial" w:cs="Arial"/>
          <w:sz w:val="22"/>
          <w:szCs w:val="22"/>
        </w:rPr>
        <w:t>(</w:t>
      </w:r>
      <w:r w:rsidR="00FF6192">
        <w:rPr>
          <w:rFonts w:ascii="Arial" w:hAnsi="Arial" w:cs="Arial"/>
          <w:sz w:val="22"/>
          <w:szCs w:val="22"/>
        </w:rPr>
        <w:t xml:space="preserve">ASM Press, Washington, </w:t>
      </w:r>
      <w:proofErr w:type="gramStart"/>
      <w:r w:rsidR="00FF6192">
        <w:rPr>
          <w:rFonts w:ascii="Arial" w:hAnsi="Arial" w:cs="Arial"/>
          <w:sz w:val="22"/>
          <w:szCs w:val="22"/>
        </w:rPr>
        <w:t>DC</w:t>
      </w:r>
      <w:proofErr w:type="gramEnd"/>
      <w:r w:rsidR="00FF6192">
        <w:rPr>
          <w:rFonts w:ascii="Arial" w:hAnsi="Arial" w:cs="Arial"/>
          <w:sz w:val="22"/>
          <w:szCs w:val="22"/>
        </w:rPr>
        <w:t>.)</w:t>
      </w:r>
      <w:r w:rsidR="00B546B0">
        <w:rPr>
          <w:rFonts w:ascii="Arial" w:hAnsi="Arial" w:cs="Arial"/>
          <w:sz w:val="22"/>
          <w:szCs w:val="22"/>
        </w:rPr>
        <w:t xml:space="preserve"> as its textbook</w:t>
      </w:r>
      <w:r w:rsidR="00FF6192">
        <w:rPr>
          <w:rFonts w:ascii="Arial" w:hAnsi="Arial" w:cs="Arial"/>
          <w:sz w:val="22"/>
          <w:szCs w:val="22"/>
        </w:rPr>
        <w:t xml:space="preserve">.  The fourth edition of this text </w:t>
      </w:r>
      <w:r w:rsidR="005E10B5">
        <w:rPr>
          <w:rFonts w:ascii="Arial" w:hAnsi="Arial" w:cs="Arial"/>
          <w:sz w:val="22"/>
          <w:szCs w:val="22"/>
        </w:rPr>
        <w:t>was published in July</w:t>
      </w:r>
      <w:r w:rsidR="00FF6192">
        <w:rPr>
          <w:rFonts w:ascii="Arial" w:hAnsi="Arial" w:cs="Arial"/>
          <w:sz w:val="22"/>
          <w:szCs w:val="22"/>
        </w:rPr>
        <w:t xml:space="preserve"> 2014.  Based on 2012 data collected by ASM Press</w:t>
      </w:r>
      <w:r w:rsidR="00065810">
        <w:rPr>
          <w:rFonts w:ascii="Arial" w:hAnsi="Arial" w:cs="Arial"/>
          <w:sz w:val="22"/>
          <w:szCs w:val="22"/>
        </w:rPr>
        <w:t>,</w:t>
      </w:r>
      <w:r w:rsidR="00FF6192">
        <w:rPr>
          <w:rFonts w:ascii="Arial" w:hAnsi="Arial" w:cs="Arial"/>
          <w:sz w:val="22"/>
          <w:szCs w:val="22"/>
        </w:rPr>
        <w:t xml:space="preserve"> the third edition of this </w:t>
      </w:r>
      <w:proofErr w:type="gramStart"/>
      <w:r w:rsidR="00FF6192">
        <w:rPr>
          <w:rFonts w:ascii="Arial" w:hAnsi="Arial" w:cs="Arial"/>
          <w:sz w:val="22"/>
          <w:szCs w:val="22"/>
        </w:rPr>
        <w:t>text  has</w:t>
      </w:r>
      <w:proofErr w:type="gramEnd"/>
      <w:r w:rsidR="00FF6192">
        <w:rPr>
          <w:rFonts w:ascii="Arial" w:hAnsi="Arial" w:cs="Arial"/>
          <w:sz w:val="22"/>
          <w:szCs w:val="22"/>
        </w:rPr>
        <w:t xml:space="preserve"> been adopted for use at over 80 institutions making it</w:t>
      </w:r>
      <w:r w:rsidR="00FF6192" w:rsidRPr="00C50224">
        <w:rPr>
          <w:rFonts w:ascii="Arial" w:hAnsi="Arial" w:cs="Arial"/>
          <w:sz w:val="22"/>
          <w:szCs w:val="22"/>
        </w:rPr>
        <w:t xml:space="preserve"> </w:t>
      </w:r>
      <w:r w:rsidR="00FF6192">
        <w:rPr>
          <w:rFonts w:ascii="Arial" w:hAnsi="Arial" w:cs="Arial"/>
          <w:sz w:val="22"/>
          <w:szCs w:val="22"/>
        </w:rPr>
        <w:t xml:space="preserve">one of the most widely used teaching resources in the field.  </w:t>
      </w:r>
      <w:r w:rsidR="00FF6192" w:rsidRPr="00C50224">
        <w:rPr>
          <w:rFonts w:ascii="Arial" w:hAnsi="Arial" w:cs="Arial"/>
          <w:sz w:val="22"/>
          <w:szCs w:val="22"/>
        </w:rPr>
        <w:t>This text was authored by Francis L. Macrina, who is the course director of</w:t>
      </w:r>
      <w:r w:rsidR="00B546B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546B0">
        <w:rPr>
          <w:rFonts w:ascii="Arial" w:hAnsi="Arial" w:cs="Arial"/>
          <w:sz w:val="22"/>
          <w:szCs w:val="22"/>
        </w:rPr>
        <w:t xml:space="preserve">both </w:t>
      </w:r>
      <w:r w:rsidR="00FF6192" w:rsidRPr="00C50224">
        <w:rPr>
          <w:rFonts w:ascii="Arial" w:hAnsi="Arial" w:cs="Arial"/>
          <w:sz w:val="22"/>
          <w:szCs w:val="22"/>
        </w:rPr>
        <w:t xml:space="preserve"> OVPR6</w:t>
      </w:r>
      <w:r w:rsidR="00B62259">
        <w:rPr>
          <w:rFonts w:ascii="Arial" w:hAnsi="Arial" w:cs="Arial"/>
          <w:sz w:val="22"/>
          <w:szCs w:val="22"/>
        </w:rPr>
        <w:t>01</w:t>
      </w:r>
      <w:proofErr w:type="gramEnd"/>
      <w:r w:rsidR="00B62259">
        <w:rPr>
          <w:rFonts w:ascii="Arial" w:hAnsi="Arial" w:cs="Arial"/>
          <w:sz w:val="22"/>
          <w:szCs w:val="22"/>
        </w:rPr>
        <w:t xml:space="preserve"> and OVPR602.</w:t>
      </w:r>
      <w:r w:rsidR="00FF6192" w:rsidRPr="00C50224">
        <w:rPr>
          <w:rFonts w:ascii="Arial" w:hAnsi="Arial" w:cs="Arial"/>
          <w:sz w:val="22"/>
          <w:szCs w:val="22"/>
        </w:rPr>
        <w:t xml:space="preserve"> </w:t>
      </w:r>
    </w:p>
    <w:p w:rsidR="00FF6192" w:rsidRDefault="00FF6192" w:rsidP="00FD112B">
      <w:pPr>
        <w:ind w:left="180"/>
        <w:rPr>
          <w:rFonts w:ascii="Arial" w:hAnsi="Arial" w:cs="Arial"/>
          <w:sz w:val="22"/>
          <w:szCs w:val="22"/>
        </w:rPr>
      </w:pPr>
    </w:p>
    <w:p w:rsidR="00CA642E" w:rsidRDefault="00FF6192" w:rsidP="00FD112B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content covers the </w:t>
      </w:r>
      <w:r w:rsidR="00FD112B" w:rsidRPr="00C50224">
        <w:rPr>
          <w:rFonts w:ascii="Arial" w:hAnsi="Arial" w:cs="Arial"/>
          <w:sz w:val="22"/>
          <w:szCs w:val="22"/>
        </w:rPr>
        <w:t xml:space="preserve">nine </w:t>
      </w:r>
      <w:r>
        <w:rPr>
          <w:rFonts w:ascii="Arial" w:hAnsi="Arial" w:cs="Arial"/>
          <w:sz w:val="22"/>
          <w:szCs w:val="22"/>
        </w:rPr>
        <w:t xml:space="preserve">commonly accepted </w:t>
      </w:r>
      <w:r w:rsidR="00FD112B" w:rsidRPr="00C50224">
        <w:rPr>
          <w:rFonts w:ascii="Arial" w:hAnsi="Arial" w:cs="Arial"/>
          <w:sz w:val="22"/>
          <w:szCs w:val="22"/>
        </w:rPr>
        <w:t>NIH instruction</w:t>
      </w:r>
      <w:r>
        <w:rPr>
          <w:rFonts w:ascii="Arial" w:hAnsi="Arial" w:cs="Arial"/>
          <w:sz w:val="22"/>
          <w:szCs w:val="22"/>
        </w:rPr>
        <w:t>al topics taught in RCR courses.</w:t>
      </w:r>
      <w:r w:rsidR="00FD112B" w:rsidRPr="00C50224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These are re</w:t>
      </w:r>
      <w:r w:rsidR="00CA642E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lected in the required reading in the 4</w:t>
      </w:r>
      <w:r w:rsidRPr="00FF6192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edition of the </w:t>
      </w:r>
      <w:r>
        <w:rPr>
          <w:rFonts w:ascii="Arial" w:hAnsi="Arial" w:cs="Arial"/>
          <w:i/>
          <w:sz w:val="22"/>
          <w:szCs w:val="22"/>
        </w:rPr>
        <w:t xml:space="preserve">Scientific Integrity </w:t>
      </w:r>
      <w:r>
        <w:rPr>
          <w:rFonts w:ascii="Arial" w:hAnsi="Arial" w:cs="Arial"/>
          <w:sz w:val="22"/>
          <w:szCs w:val="22"/>
        </w:rPr>
        <w:t>text</w:t>
      </w:r>
      <w:r w:rsidR="00BE4DA8">
        <w:rPr>
          <w:rFonts w:ascii="Arial" w:hAnsi="Arial" w:cs="Arial"/>
          <w:sz w:val="22"/>
          <w:szCs w:val="22"/>
        </w:rPr>
        <w:t xml:space="preserve"> as illustrated in the following table.</w:t>
      </w:r>
      <w:r w:rsidR="00CA642E">
        <w:rPr>
          <w:rFonts w:ascii="Arial" w:hAnsi="Arial" w:cs="Arial"/>
          <w:sz w:val="22"/>
          <w:szCs w:val="22"/>
        </w:rPr>
        <w:t xml:space="preserve">  </w:t>
      </w:r>
    </w:p>
    <w:p w:rsidR="00CA642E" w:rsidRDefault="00CA642E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p w:rsidR="002906A7" w:rsidRDefault="002906A7" w:rsidP="00FD112B">
      <w:pPr>
        <w:ind w:left="18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775"/>
        <w:gridCol w:w="4621"/>
      </w:tblGrid>
      <w:tr w:rsidR="00CA642E" w:rsidTr="0079087A">
        <w:tc>
          <w:tcPr>
            <w:tcW w:w="4775" w:type="dxa"/>
          </w:tcPr>
          <w:p w:rsidR="00CA642E" w:rsidRPr="0079087A" w:rsidRDefault="00CA642E" w:rsidP="00FD11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9087A">
              <w:rPr>
                <w:rFonts w:ascii="Arial" w:hAnsi="Arial" w:cs="Arial"/>
                <w:b/>
                <w:sz w:val="22"/>
                <w:szCs w:val="22"/>
              </w:rPr>
              <w:t>NIH Accepted Content Area</w:t>
            </w:r>
            <w:r w:rsidR="002906A7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="00CA642E" w:rsidRPr="0079087A" w:rsidRDefault="00FB3DDC" w:rsidP="00CA642E">
            <w:pPr>
              <w:rPr>
                <w:rFonts w:ascii="Arial" w:hAnsi="Arial" w:cs="Arial"/>
                <w:b/>
                <w:sz w:val="22"/>
                <w:szCs w:val="22"/>
              </w:rPr>
            </w:pPr>
            <w:hyperlink r:id="rId7" w:history="1">
              <w:r w:rsidR="00CA642E" w:rsidRPr="0079087A">
                <w:rPr>
                  <w:rStyle w:val="Hyperlink"/>
                  <w:rFonts w:ascii="Arial" w:hAnsi="Arial" w:cs="Arial"/>
                  <w:b/>
                  <w:sz w:val="18"/>
                  <w:szCs w:val="22"/>
                </w:rPr>
                <w:t>http://grants.nih.gov/grants/guide/notice-files/NOT-OD-10-019.html</w:t>
              </w:r>
            </w:hyperlink>
          </w:p>
        </w:tc>
        <w:tc>
          <w:tcPr>
            <w:tcW w:w="4621" w:type="dxa"/>
          </w:tcPr>
          <w:p w:rsidR="00CA642E" w:rsidRPr="00CA642E" w:rsidRDefault="0054469E" w:rsidP="00FD112B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Corresponding Content</w:t>
            </w:r>
            <w:r w:rsidR="00CA642E">
              <w:rPr>
                <w:rFonts w:ascii="Arial" w:hAnsi="Arial" w:cs="Arial"/>
                <w:b/>
                <w:sz w:val="22"/>
                <w:szCs w:val="22"/>
              </w:rPr>
              <w:t xml:space="preserve"> in </w:t>
            </w:r>
            <w:r w:rsidR="00CA642E">
              <w:rPr>
                <w:rFonts w:ascii="Arial" w:hAnsi="Arial" w:cs="Arial"/>
                <w:b/>
                <w:i/>
                <w:sz w:val="22"/>
                <w:szCs w:val="22"/>
              </w:rPr>
              <w:t>Scientific Integrity (4</w:t>
            </w:r>
            <w:r w:rsidR="00CA642E" w:rsidRPr="00CA642E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>th</w:t>
            </w:r>
            <w:r w:rsidR="00CA642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edition)</w:t>
            </w:r>
          </w:p>
        </w:tc>
      </w:tr>
      <w:tr w:rsidR="0079087A" w:rsidTr="00AC5827">
        <w:tc>
          <w:tcPr>
            <w:tcW w:w="9396" w:type="dxa"/>
            <w:gridSpan w:val="2"/>
            <w:shd w:val="clear" w:color="auto" w:fill="D9D9D9" w:themeFill="background1" w:themeFillShade="D9"/>
          </w:tcPr>
          <w:p w:rsidR="0079087A" w:rsidRDefault="0079087A" w:rsidP="00FD11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conflict of interest – personal, professional, and financial</w:t>
            </w:r>
          </w:p>
        </w:tc>
        <w:tc>
          <w:tcPr>
            <w:tcW w:w="4621" w:type="dxa"/>
          </w:tcPr>
          <w:p w:rsidR="00CA642E" w:rsidRDefault="00DF1B9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7   Managing Competing Interests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policies regarding human subjects, live vertebrate animal subjects in research, and safe laboratory practices</w:t>
            </w:r>
          </w:p>
        </w:tc>
        <w:tc>
          <w:tcPr>
            <w:tcW w:w="4621" w:type="dxa"/>
          </w:tcPr>
          <w:p w:rsidR="00CA642E" w:rsidRDefault="00DF1B9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Chapter 5 </w:t>
            </w:r>
            <w:r w:rsidR="00FA3C7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Use of Humans in  Biomedical Experimentation</w:t>
            </w:r>
          </w:p>
          <w:p w:rsidR="00DF1B91" w:rsidRDefault="00DF1B9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Chapter 6  </w:t>
            </w:r>
            <w:r w:rsidR="00FA3C7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Use of Animals in Biomedical Experimentation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Appendix IV  Sample Protocols for Human and Animal Experimentation</w:t>
            </w:r>
          </w:p>
          <w:p w:rsidR="00DF1B91" w:rsidRDefault="00DF1B9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Appendix VII </w:t>
            </w:r>
            <w:r w:rsidR="00FA3C7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Safe Laboratory Practices Resources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mentor/mentee responsibilities and relationships</w:t>
            </w:r>
          </w:p>
        </w:tc>
        <w:tc>
          <w:tcPr>
            <w:tcW w:w="4621" w:type="dxa"/>
          </w:tcPr>
          <w:p w:rsidR="00CA642E" w:rsidRDefault="00FA3C7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3  Mentoring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collaborative research including collaborations with industry</w:t>
            </w:r>
          </w:p>
        </w:tc>
        <w:tc>
          <w:tcPr>
            <w:tcW w:w="4621" w:type="dxa"/>
          </w:tcPr>
          <w:p w:rsidR="00CA642E" w:rsidRDefault="00FA3C7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8   Collaborative Research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peer review</w:t>
            </w:r>
          </w:p>
        </w:tc>
        <w:tc>
          <w:tcPr>
            <w:tcW w:w="4621" w:type="dxa"/>
          </w:tcPr>
          <w:p w:rsidR="00CA642E" w:rsidRDefault="00FA3C7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4 Authorship and Peer Review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data acquisition and laboratory tools; management, sharing and ownership</w:t>
            </w:r>
          </w:p>
        </w:tc>
        <w:tc>
          <w:tcPr>
            <w:tcW w:w="4621" w:type="dxa"/>
          </w:tcPr>
          <w:p w:rsidR="00CA642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9   Research Data and Intellectual Property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10 Scientific Record Keeping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Appendix V  Example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U.S. Patent Specification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Appendix VI   Laboratory Notebook Instructions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research misconduct and policies for handling misconduct</w:t>
            </w:r>
          </w:p>
        </w:tc>
        <w:tc>
          <w:tcPr>
            <w:tcW w:w="4621" w:type="dxa"/>
          </w:tcPr>
          <w:p w:rsidR="00CA642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  Methods, Manners, and the Responsible Conduct of Research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2   Ethics and the Scientist</w:t>
            </w:r>
          </w:p>
          <w:p w:rsidR="0054469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Appendix III  Standards of Conduct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CA642E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responsible authorship and publication</w:t>
            </w:r>
          </w:p>
        </w:tc>
        <w:tc>
          <w:tcPr>
            <w:tcW w:w="4621" w:type="dxa"/>
          </w:tcPr>
          <w:p w:rsidR="00CA642E" w:rsidRDefault="00FA3C71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4 Authorship and Peer Review</w:t>
            </w:r>
          </w:p>
        </w:tc>
      </w:tr>
      <w:tr w:rsidR="00CA642E" w:rsidTr="0079087A">
        <w:tc>
          <w:tcPr>
            <w:tcW w:w="4775" w:type="dxa"/>
          </w:tcPr>
          <w:p w:rsidR="00CA642E" w:rsidRPr="0079087A" w:rsidRDefault="00CA642E" w:rsidP="00CA642E">
            <w:pPr>
              <w:widowControl/>
              <w:shd w:val="clear" w:color="auto" w:fill="FFFFFF"/>
              <w:snapToGrid/>
              <w:spacing w:before="100" w:beforeAutospacing="1" w:after="100" w:afterAutospacing="1" w:line="255" w:lineRule="atLeast"/>
              <w:rPr>
                <w:rFonts w:ascii="Arial" w:hAnsi="Arial" w:cs="Arial"/>
                <w:sz w:val="22"/>
                <w:szCs w:val="22"/>
              </w:rPr>
            </w:pPr>
            <w:r w:rsidRPr="0079087A">
              <w:rPr>
                <w:rFonts w:ascii="Arial" w:hAnsi="Arial" w:cs="Arial"/>
                <w:color w:val="000000"/>
                <w:spacing w:val="3"/>
                <w:sz w:val="22"/>
                <w:szCs w:val="22"/>
              </w:rPr>
              <w:t>the scientist as a responsible member of society, contemporary ethical issues in biomedical research, and the environmental and societal impacts of scientific research</w:t>
            </w:r>
          </w:p>
        </w:tc>
        <w:tc>
          <w:tcPr>
            <w:tcW w:w="4621" w:type="dxa"/>
          </w:tcPr>
          <w:p w:rsidR="00CA642E" w:rsidRDefault="0054469E" w:rsidP="00FD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11   Science, Technology and Society</w:t>
            </w:r>
          </w:p>
        </w:tc>
      </w:tr>
    </w:tbl>
    <w:p w:rsidR="00CA642E" w:rsidRDefault="00CA642E" w:rsidP="00FD112B">
      <w:pPr>
        <w:ind w:left="180"/>
        <w:rPr>
          <w:rFonts w:ascii="Arial" w:hAnsi="Arial" w:cs="Arial"/>
          <w:sz w:val="22"/>
          <w:szCs w:val="22"/>
        </w:rPr>
      </w:pPr>
    </w:p>
    <w:p w:rsidR="00B73AE1" w:rsidRDefault="00B73AE1" w:rsidP="00FD112B">
      <w:pPr>
        <w:ind w:left="180"/>
        <w:rPr>
          <w:rFonts w:ascii="Arial" w:hAnsi="Arial" w:cs="Arial"/>
          <w:sz w:val="22"/>
          <w:szCs w:val="22"/>
        </w:rPr>
      </w:pPr>
    </w:p>
    <w:p w:rsidR="00BE4DA8" w:rsidRDefault="00BE4DA8" w:rsidP="00FD112B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Ten short case studies for discussion are found at the end of all chapters except for Chapter 1 and Chapter 11.  </w:t>
      </w:r>
      <w:r w:rsidR="00B73AE1">
        <w:rPr>
          <w:rFonts w:ascii="Arial" w:hAnsi="Arial" w:cs="Arial"/>
          <w:sz w:val="22"/>
          <w:szCs w:val="22"/>
        </w:rPr>
        <w:t>Chapter</w:t>
      </w:r>
      <w:r w:rsidR="00065810">
        <w:rPr>
          <w:rFonts w:ascii="Arial" w:hAnsi="Arial" w:cs="Arial"/>
          <w:sz w:val="22"/>
          <w:szCs w:val="22"/>
        </w:rPr>
        <w:t>s</w:t>
      </w:r>
      <w:r w:rsidR="00B73AE1">
        <w:rPr>
          <w:rFonts w:ascii="Arial" w:hAnsi="Arial" w:cs="Arial"/>
          <w:sz w:val="22"/>
          <w:szCs w:val="22"/>
        </w:rPr>
        <w:t xml:space="preserve"> also contain a minimum of 4 relevant discussion questions that may be used as writing or makeup assignments.  </w:t>
      </w:r>
    </w:p>
    <w:p w:rsidR="00BE4DA8" w:rsidRDefault="00BE4DA8" w:rsidP="00FD112B">
      <w:pPr>
        <w:ind w:left="180"/>
        <w:rPr>
          <w:rFonts w:ascii="Arial" w:hAnsi="Arial" w:cs="Arial"/>
          <w:sz w:val="22"/>
          <w:szCs w:val="22"/>
        </w:rPr>
      </w:pPr>
    </w:p>
    <w:p w:rsidR="00FD112B" w:rsidRPr="00C50224" w:rsidRDefault="00790A51" w:rsidP="00FD112B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FD112B" w:rsidRPr="00C50224" w:rsidRDefault="001A6AD2" w:rsidP="00FD112B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Each of the RCR courses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 w:rsidR="003E04CA">
        <w:rPr>
          <w:rFonts w:ascii="Arial" w:hAnsi="Arial" w:cs="Arial"/>
          <w:sz w:val="22"/>
          <w:szCs w:val="22"/>
        </w:rPr>
        <w:t xml:space="preserve"> catalogue-lis</w:t>
      </w:r>
      <w:r w:rsidR="009C2FE1">
        <w:rPr>
          <w:rFonts w:ascii="Arial" w:hAnsi="Arial" w:cs="Arial"/>
          <w:sz w:val="22"/>
          <w:szCs w:val="22"/>
        </w:rPr>
        <w:t>ted course</w:t>
      </w:r>
      <w:r w:rsidR="008570B1">
        <w:rPr>
          <w:rFonts w:ascii="Arial" w:hAnsi="Arial" w:cs="Arial"/>
          <w:sz w:val="22"/>
          <w:szCs w:val="22"/>
        </w:rPr>
        <w:t>s</w:t>
      </w:r>
      <w:r w:rsidR="009C2FE1">
        <w:rPr>
          <w:rFonts w:ascii="Arial" w:hAnsi="Arial" w:cs="Arial"/>
          <w:sz w:val="22"/>
          <w:szCs w:val="22"/>
        </w:rPr>
        <w:t xml:space="preserve"> that carr</w:t>
      </w:r>
      <w:r w:rsidR="008570B1">
        <w:rPr>
          <w:rFonts w:ascii="Arial" w:hAnsi="Arial" w:cs="Arial"/>
          <w:sz w:val="22"/>
          <w:szCs w:val="22"/>
        </w:rPr>
        <w:t>y</w:t>
      </w:r>
      <w:r w:rsidR="009C2FE1">
        <w:rPr>
          <w:rFonts w:ascii="Arial" w:hAnsi="Arial" w:cs="Arial"/>
          <w:sz w:val="22"/>
          <w:szCs w:val="22"/>
        </w:rPr>
        <w:t>1</w:t>
      </w:r>
      <w:r w:rsidR="003E04CA">
        <w:rPr>
          <w:rFonts w:ascii="Arial" w:hAnsi="Arial" w:cs="Arial"/>
          <w:sz w:val="22"/>
          <w:szCs w:val="22"/>
        </w:rPr>
        <w:t xml:space="preserve"> hour of academic credit. </w:t>
      </w:r>
      <w:r w:rsidR="00FD112B" w:rsidRPr="00C50224">
        <w:rPr>
          <w:rFonts w:ascii="Arial" w:hAnsi="Arial" w:cs="Arial"/>
          <w:sz w:val="22"/>
          <w:szCs w:val="22"/>
        </w:rPr>
        <w:t xml:space="preserve"> </w:t>
      </w:r>
      <w:r w:rsidR="003E04CA">
        <w:rPr>
          <w:rFonts w:ascii="Arial" w:hAnsi="Arial" w:cs="Arial"/>
          <w:sz w:val="22"/>
          <w:szCs w:val="22"/>
        </w:rPr>
        <w:t xml:space="preserve"> </w:t>
      </w:r>
      <w:r w:rsidR="00826B96">
        <w:rPr>
          <w:rFonts w:ascii="Arial" w:hAnsi="Arial" w:cs="Arial"/>
          <w:sz w:val="22"/>
          <w:szCs w:val="22"/>
        </w:rPr>
        <w:t>They have all bee</w:t>
      </w:r>
      <w:r w:rsidR="00E03BDB">
        <w:rPr>
          <w:rFonts w:ascii="Arial" w:hAnsi="Arial" w:cs="Arial"/>
          <w:sz w:val="22"/>
          <w:szCs w:val="22"/>
        </w:rPr>
        <w:t>n</w:t>
      </w:r>
      <w:r w:rsidR="00826B96">
        <w:rPr>
          <w:rFonts w:ascii="Arial" w:hAnsi="Arial" w:cs="Arial"/>
          <w:sz w:val="22"/>
          <w:szCs w:val="22"/>
        </w:rPr>
        <w:t xml:space="preserve"> approved by the VCU Graduate School and meet the university requirements for hybrid course delivery. </w:t>
      </w:r>
      <w:r w:rsidR="00FD112B" w:rsidRPr="00C50224">
        <w:rPr>
          <w:rFonts w:ascii="Arial" w:hAnsi="Arial" w:cs="Arial"/>
          <w:sz w:val="22"/>
          <w:szCs w:val="22"/>
        </w:rPr>
        <w:t xml:space="preserve"> </w:t>
      </w:r>
    </w:p>
    <w:p w:rsidR="00FD112B" w:rsidRPr="00C50224" w:rsidRDefault="00FD112B" w:rsidP="00FD112B">
      <w:pPr>
        <w:ind w:left="180"/>
        <w:rPr>
          <w:rFonts w:ascii="Arial" w:hAnsi="Arial" w:cs="Arial"/>
          <w:i/>
          <w:sz w:val="22"/>
          <w:szCs w:val="22"/>
        </w:rPr>
      </w:pPr>
    </w:p>
    <w:p w:rsidR="00DE2C51" w:rsidRDefault="00DE2C51" w:rsidP="00DE2C51">
      <w:pPr>
        <w:ind w:left="180"/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DE2C51" w:rsidRDefault="00DE2C51" w:rsidP="00DE2C51">
      <w:pPr>
        <w:ind w:left="180"/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</w:pPr>
      <w:r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lastRenderedPageBreak/>
        <w:t xml:space="preserve">The Office of 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the Vice President for </w:t>
      </w:r>
      <w:r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Research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and Innovation (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OVPR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I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) </w:t>
      </w:r>
      <w:r w:rsidR="009D1515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also</w:t>
      </w:r>
      <w:r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coordinates a lecture series that provides </w:t>
      </w:r>
      <w:r w:rsidR="00B62259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a 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platform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for </w:t>
      </w:r>
      <w:r w:rsidR="00B62259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augmenting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9D1515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education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in </w:t>
      </w:r>
      <w:proofErr w:type="gramStart"/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RCR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.</w:t>
      </w:r>
      <w:proofErr w:type="gramEnd"/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 Taking advantage of OVPR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I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resources and </w:t>
      </w:r>
      <w:r w:rsidR="005F3C50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grants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from the VCU Sanger Fund for Ethics, we 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have 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aim</w:t>
      </w:r>
      <w:r w:rsidR="00B62259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ed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to sponsor at least 1 outside speaker per semester who presents a</w:t>
      </w:r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university-wide lecture on a</w:t>
      </w:r>
      <w:r w:rsidR="005C2996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topic related to the responsible conduct of research.   </w:t>
      </w:r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Past speakers have included Michael </w:t>
      </w:r>
      <w:proofErr w:type="spellStart"/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Kalichman</w:t>
      </w:r>
      <w:proofErr w:type="spellEnd"/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(Director of the Research Ethics Program at Univ. California, San Diego) who spoke on authorship</w:t>
      </w:r>
      <w:proofErr w:type="gramStart"/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,  Michelle</w:t>
      </w:r>
      <w:proofErr w:type="gramEnd"/>
      <w:r w:rsidR="002A314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Bennett (Deputy Scientific Director of the National Heart, Lung, and Blood Institute) who spoke on collaboration and team science, and Ross McKinney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 (Director of the Trent Center for Bioethics, Humanities, and History of Medicine at Duke University) who spoke on conflict of interest in research.  In 2014</w:t>
      </w:r>
      <w:r w:rsidR="004B0A74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, 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we </w:t>
      </w:r>
      <w:r w:rsidR="00B62259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brought</w:t>
      </w:r>
      <w:r w:rsidR="00274803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four speakers to campus: 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John </w:t>
      </w:r>
      <w:proofErr w:type="spellStart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Wilbanks</w:t>
      </w:r>
      <w:proofErr w:type="spellEnd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from Sage Bionetworks spoke on the Politics of Personal R</w:t>
      </w:r>
      <w:r w:rsidR="007204D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esearch Data; </w:t>
      </w:r>
      <w:r w:rsidR="009D1515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John </w:t>
      </w:r>
      <w:proofErr w:type="spellStart"/>
      <w:r w:rsidR="009D1515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Willinsky</w:t>
      </w:r>
      <w:proofErr w:type="spellEnd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from Stanford University spoke on The Intell</w:t>
      </w:r>
      <w:r w:rsidR="004B0A74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ectual Properties of Learning, and also conducted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a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 forum on open access publication in the sc</w:t>
      </w:r>
      <w:r w:rsidR="005F3C50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holarly li</w:t>
      </w:r>
      <w:r w:rsidR="007204D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terature;</w:t>
      </w:r>
      <w:r w:rsidR="005F3C50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 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Lawrence </w:t>
      </w:r>
      <w:proofErr w:type="spellStart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Tabak</w:t>
      </w:r>
      <w:proofErr w:type="spellEnd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, principal deputy director of the National Institutes of Health, </w:t>
      </w:r>
      <w:r w:rsidR="00B62259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spoke</w:t>
      </w:r>
      <w:r w:rsidR="007204D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on data reproducibility; and 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Bruce </w:t>
      </w:r>
      <w:proofErr w:type="spellStart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Alberts</w:t>
      </w:r>
      <w:proofErr w:type="spellEnd"/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, Univ. California, San Francisco , former President of the National Academy of Sciences, and former Editor-in-Chief of </w:t>
      </w:r>
      <w:r w:rsidR="00ED5C5C">
        <w:rPr>
          <w:rStyle w:val="SubtleEmphasis"/>
          <w:rFonts w:ascii="Arial" w:hAnsi="Arial" w:cs="Arial"/>
          <w:iCs w:val="0"/>
          <w:color w:val="auto"/>
          <w:sz w:val="22"/>
          <w:szCs w:val="22"/>
        </w:rPr>
        <w:t xml:space="preserve">Science, 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7204D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spoke</w:t>
      </w:r>
      <w:r w:rsidR="00ED5C5C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on </w:t>
      </w:r>
      <w:r w:rsidR="005F3C50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 xml:space="preserve"> science and the world’</w:t>
      </w:r>
      <w:r w:rsidR="00235CD2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s future</w:t>
      </w:r>
      <w:r w:rsidR="007204DF"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CE7657" w:rsidRDefault="00CE7657" w:rsidP="00DE2C51">
      <w:pPr>
        <w:ind w:left="180"/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CE7657" w:rsidRPr="00C50224" w:rsidRDefault="00CE7657" w:rsidP="00CE7657">
      <w:pPr>
        <w:ind w:left="180"/>
        <w:rPr>
          <w:rFonts w:ascii="Arial" w:hAnsi="Arial" w:cs="Arial"/>
          <w:sz w:val="22"/>
          <w:szCs w:val="22"/>
        </w:rPr>
      </w:pPr>
      <w:r w:rsidRPr="00C50224">
        <w:rPr>
          <w:rFonts w:ascii="Arial" w:hAnsi="Arial" w:cs="Arial"/>
          <w:i/>
          <w:sz w:val="22"/>
          <w:szCs w:val="22"/>
        </w:rPr>
        <w:t>Faculty Participation</w:t>
      </w:r>
      <w:r>
        <w:rPr>
          <w:rFonts w:ascii="Arial" w:hAnsi="Arial" w:cs="Arial"/>
          <w:sz w:val="22"/>
          <w:szCs w:val="22"/>
        </w:rPr>
        <w:t>: OVPR601</w:t>
      </w:r>
      <w:r w:rsidR="00790A51">
        <w:rPr>
          <w:rFonts w:ascii="Arial" w:hAnsi="Arial" w:cs="Arial"/>
          <w:sz w:val="22"/>
          <w:szCs w:val="22"/>
        </w:rPr>
        <w:t>and 602</w:t>
      </w:r>
      <w:r w:rsidRPr="00C50224">
        <w:rPr>
          <w:rFonts w:ascii="Arial" w:hAnsi="Arial" w:cs="Arial"/>
          <w:sz w:val="22"/>
          <w:szCs w:val="22"/>
        </w:rPr>
        <w:t xml:space="preserve"> topic instructors are faculty experts.  Dr. Macrina lectures in areas that reflect his scholarly and published interests (mentoring, authorship/peer review, research data</w:t>
      </w:r>
      <w:r>
        <w:rPr>
          <w:rFonts w:ascii="Arial" w:hAnsi="Arial" w:cs="Arial"/>
          <w:sz w:val="22"/>
          <w:szCs w:val="22"/>
        </w:rPr>
        <w:t xml:space="preserve"> and collaboration</w:t>
      </w:r>
      <w:r w:rsidRPr="00C50224">
        <w:rPr>
          <w:rFonts w:ascii="Arial" w:hAnsi="Arial" w:cs="Arial"/>
          <w:sz w:val="22"/>
          <w:szCs w:val="22"/>
        </w:rPr>
        <w:t>) as well as those that fall under his  responsibility and expertise as the senior research officer of the institution ( conflict of interest,</w:t>
      </w:r>
      <w:r>
        <w:rPr>
          <w:rFonts w:ascii="Arial" w:hAnsi="Arial" w:cs="Arial"/>
          <w:sz w:val="22"/>
          <w:szCs w:val="22"/>
        </w:rPr>
        <w:t xml:space="preserve"> intellectual property, </w:t>
      </w:r>
      <w:r w:rsidRPr="00C50224">
        <w:rPr>
          <w:rFonts w:ascii="Arial" w:hAnsi="Arial" w:cs="Arial"/>
          <w:sz w:val="22"/>
          <w:szCs w:val="22"/>
        </w:rPr>
        <w:t xml:space="preserve"> misconduct policies</w:t>
      </w:r>
      <w:r>
        <w:rPr>
          <w:rFonts w:ascii="Arial" w:hAnsi="Arial" w:cs="Arial"/>
          <w:sz w:val="22"/>
          <w:szCs w:val="22"/>
        </w:rPr>
        <w:t>, and research compliance issues</w:t>
      </w:r>
      <w:r w:rsidRPr="00C50224">
        <w:rPr>
          <w:rFonts w:ascii="Arial" w:hAnsi="Arial" w:cs="Arial"/>
          <w:sz w:val="22"/>
          <w:szCs w:val="22"/>
        </w:rPr>
        <w:t xml:space="preserve">).   Topics related to research subject protection are taught </w:t>
      </w:r>
      <w:r>
        <w:rPr>
          <w:rFonts w:ascii="Arial" w:hAnsi="Arial" w:cs="Arial"/>
          <w:sz w:val="22"/>
          <w:szCs w:val="22"/>
        </w:rPr>
        <w:t xml:space="preserve">variously </w:t>
      </w:r>
      <w:r w:rsidRPr="00C50224"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z w:val="22"/>
          <w:szCs w:val="22"/>
        </w:rPr>
        <w:t xml:space="preserve"> experts such as</w:t>
      </w:r>
      <w:r w:rsidRPr="00C50224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Executive Director of the VCU Office of Subjects Protection, the principal investigator of VCU’s NIH CTSA award and the chair of the VCU IACUC, who is a funded investigator.   </w:t>
      </w:r>
      <w:r w:rsidRPr="00C50224">
        <w:rPr>
          <w:rFonts w:ascii="Arial" w:hAnsi="Arial" w:cs="Arial"/>
          <w:sz w:val="22"/>
          <w:szCs w:val="22"/>
        </w:rPr>
        <w:t xml:space="preserve">Faculty case </w:t>
      </w:r>
      <w:r>
        <w:rPr>
          <w:rFonts w:ascii="Arial" w:hAnsi="Arial" w:cs="Arial"/>
          <w:sz w:val="22"/>
          <w:szCs w:val="22"/>
        </w:rPr>
        <w:t xml:space="preserve">study </w:t>
      </w:r>
      <w:r w:rsidRPr="00C50224">
        <w:rPr>
          <w:rFonts w:ascii="Arial" w:hAnsi="Arial" w:cs="Arial"/>
          <w:sz w:val="22"/>
          <w:szCs w:val="22"/>
        </w:rPr>
        <w:t xml:space="preserve">facilitators are recruited from across the university. </w:t>
      </w:r>
      <w:r>
        <w:rPr>
          <w:rFonts w:ascii="Arial" w:hAnsi="Arial" w:cs="Arial"/>
          <w:sz w:val="22"/>
          <w:szCs w:val="22"/>
        </w:rPr>
        <w:t xml:space="preserve">All case facilitators must complete a 1 hour training session conducted by </w:t>
      </w:r>
      <w:r w:rsidRPr="00C50224">
        <w:rPr>
          <w:rFonts w:ascii="Arial" w:hAnsi="Arial" w:cs="Arial"/>
          <w:sz w:val="22"/>
          <w:szCs w:val="22"/>
        </w:rPr>
        <w:t xml:space="preserve">Dr.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Macrina  prior</w:t>
      </w:r>
      <w:proofErr w:type="gramEnd"/>
      <w:r w:rsidRPr="00C50224">
        <w:rPr>
          <w:rFonts w:ascii="Arial" w:hAnsi="Arial" w:cs="Arial"/>
          <w:sz w:val="22"/>
          <w:szCs w:val="22"/>
        </w:rPr>
        <w:t xml:space="preserve"> to their initial course participation. Faculty mentors of record on NIH K-, F-, R-, T- or U- mechanism grants are recruited to be facilitators.</w:t>
      </w:r>
    </w:p>
    <w:p w:rsidR="00CE7657" w:rsidRPr="00ED5C5C" w:rsidRDefault="00CE7657" w:rsidP="00DE2C51">
      <w:pPr>
        <w:ind w:left="180"/>
        <w:rPr>
          <w:rStyle w:val="SubtleEmphasis"/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ED1DBF" w:rsidRDefault="00ED1DBF"/>
    <w:p w:rsidR="004124FD" w:rsidRDefault="004124FD" w:rsidP="004124FD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Duration</w:t>
      </w:r>
      <w:r w:rsidR="007204DF">
        <w:rPr>
          <w:rFonts w:ascii="Arial" w:hAnsi="Arial" w:cs="Arial"/>
          <w:i/>
          <w:sz w:val="22"/>
          <w:szCs w:val="22"/>
        </w:rPr>
        <w:t xml:space="preserve"> and Frequency of Instruction</w:t>
      </w:r>
      <w:r>
        <w:rPr>
          <w:rFonts w:ascii="Arial" w:hAnsi="Arial" w:cs="Arial"/>
          <w:i/>
          <w:sz w:val="22"/>
          <w:szCs w:val="22"/>
        </w:rPr>
        <w:t xml:space="preserve">:   </w:t>
      </w:r>
      <w:r>
        <w:rPr>
          <w:rFonts w:ascii="Arial" w:hAnsi="Arial" w:cs="Arial"/>
          <w:sz w:val="22"/>
          <w:szCs w:val="22"/>
        </w:rPr>
        <w:t xml:space="preserve">OVPR601 </w:t>
      </w:r>
      <w:r w:rsidR="00B95488">
        <w:rPr>
          <w:rFonts w:ascii="Arial" w:hAnsi="Arial" w:cs="Arial"/>
          <w:sz w:val="22"/>
          <w:szCs w:val="22"/>
        </w:rPr>
        <w:t>and 602 are</w:t>
      </w:r>
      <w:r>
        <w:rPr>
          <w:rFonts w:ascii="Arial" w:hAnsi="Arial" w:cs="Arial"/>
          <w:sz w:val="22"/>
          <w:szCs w:val="22"/>
        </w:rPr>
        <w:t xml:space="preserve"> catalogue-listed course</w:t>
      </w:r>
      <w:r w:rsidR="00B95488">
        <w:rPr>
          <w:rFonts w:ascii="Arial" w:hAnsi="Arial" w:cs="Arial"/>
          <w:sz w:val="22"/>
          <w:szCs w:val="22"/>
        </w:rPr>
        <w:t>s that carry</w:t>
      </w:r>
      <w:r>
        <w:rPr>
          <w:rFonts w:ascii="Arial" w:hAnsi="Arial" w:cs="Arial"/>
          <w:sz w:val="22"/>
          <w:szCs w:val="22"/>
        </w:rPr>
        <w:t xml:space="preserve"> 1 hour of academic credit.    Training in RCR at VCU is mandated to occur at least once during each career stage (e.g., pre- or postdoctoral tenure) but no less than once every four years.  Predoctoral trainees are required to complete instruction within the first 2 years of their program and postdoctoral trainees must complete the instructional requirement within 12 months of their start date.</w:t>
      </w:r>
      <w:r w:rsidR="00B95488">
        <w:rPr>
          <w:rFonts w:ascii="Arial" w:hAnsi="Arial" w:cs="Arial"/>
          <w:sz w:val="22"/>
          <w:szCs w:val="22"/>
        </w:rPr>
        <w:t xml:space="preserve"> In the event that refresher training is needed to meet the four year cycle requirement, trainees are required to re-take either OVPR601 or 602.   The dynamic content of RCR topics and the uses of different case studies in each iteration of these courses, provides appropriate refreshing of knowled</w:t>
      </w:r>
      <w:r w:rsidR="00790A51">
        <w:rPr>
          <w:rFonts w:ascii="Arial" w:hAnsi="Arial" w:cs="Arial"/>
          <w:sz w:val="22"/>
          <w:szCs w:val="22"/>
        </w:rPr>
        <w:t>ge and principles</w:t>
      </w:r>
      <w:r w:rsidR="00960BD4">
        <w:rPr>
          <w:rFonts w:ascii="Arial" w:hAnsi="Arial" w:cs="Arial"/>
          <w:sz w:val="22"/>
          <w:szCs w:val="22"/>
        </w:rPr>
        <w:t xml:space="preserve"> in </w:t>
      </w:r>
      <w:r w:rsidR="00B95488">
        <w:rPr>
          <w:rFonts w:ascii="Arial" w:hAnsi="Arial" w:cs="Arial"/>
          <w:sz w:val="22"/>
          <w:szCs w:val="22"/>
        </w:rPr>
        <w:t xml:space="preserve">RCR </w:t>
      </w:r>
      <w:r w:rsidR="00960BD4">
        <w:rPr>
          <w:rFonts w:ascii="Arial" w:hAnsi="Arial" w:cs="Arial"/>
          <w:sz w:val="22"/>
          <w:szCs w:val="22"/>
        </w:rPr>
        <w:t>.</w:t>
      </w:r>
    </w:p>
    <w:p w:rsidR="00CE7657" w:rsidRDefault="00CE7657" w:rsidP="004124FD">
      <w:pPr>
        <w:ind w:left="180"/>
        <w:rPr>
          <w:rFonts w:ascii="Arial" w:hAnsi="Arial" w:cs="Arial"/>
          <w:sz w:val="22"/>
          <w:szCs w:val="22"/>
        </w:rPr>
      </w:pPr>
    </w:p>
    <w:p w:rsidR="00CE7657" w:rsidRDefault="00CE7657" w:rsidP="004124FD">
      <w:pPr>
        <w:ind w:left="180"/>
        <w:rPr>
          <w:rFonts w:ascii="Arial" w:hAnsi="Arial" w:cs="Arial"/>
          <w:sz w:val="22"/>
          <w:szCs w:val="22"/>
        </w:rPr>
      </w:pPr>
    </w:p>
    <w:p w:rsidR="004124FD" w:rsidRDefault="004124FD" w:rsidP="004124FD">
      <w:pPr>
        <w:ind w:left="180"/>
        <w:rPr>
          <w:rFonts w:ascii="Arial" w:hAnsi="Arial" w:cs="Arial"/>
          <w:sz w:val="22"/>
          <w:szCs w:val="22"/>
        </w:rPr>
      </w:pPr>
    </w:p>
    <w:p w:rsidR="004124FD" w:rsidRDefault="00CE7657" w:rsidP="004124FD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</w:t>
      </w:r>
    </w:p>
    <w:sectPr w:rsidR="004124FD" w:rsidSect="00ED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6A4D"/>
    <w:multiLevelType w:val="hybridMultilevel"/>
    <w:tmpl w:val="529456FC"/>
    <w:lvl w:ilvl="0" w:tplc="89A61216">
      <w:start w:val="1"/>
      <w:numFmt w:val="decimal"/>
      <w:lvlText w:val="%1.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1F7D3F"/>
    <w:multiLevelType w:val="multilevel"/>
    <w:tmpl w:val="686A3C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34888"/>
    <w:multiLevelType w:val="multilevel"/>
    <w:tmpl w:val="7C6CE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940DB"/>
    <w:multiLevelType w:val="multilevel"/>
    <w:tmpl w:val="BAB89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E0291"/>
    <w:multiLevelType w:val="multilevel"/>
    <w:tmpl w:val="3200B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8683B"/>
    <w:multiLevelType w:val="multilevel"/>
    <w:tmpl w:val="F250A5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C505C"/>
    <w:multiLevelType w:val="multilevel"/>
    <w:tmpl w:val="32A2F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E851C9"/>
    <w:multiLevelType w:val="multilevel"/>
    <w:tmpl w:val="C874B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C78B7"/>
    <w:multiLevelType w:val="multilevel"/>
    <w:tmpl w:val="98A2E3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1044C"/>
    <w:multiLevelType w:val="multilevel"/>
    <w:tmpl w:val="0622A8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2B"/>
    <w:rsid w:val="00065810"/>
    <w:rsid w:val="000A5849"/>
    <w:rsid w:val="00120E52"/>
    <w:rsid w:val="00194B7C"/>
    <w:rsid w:val="001A6AD2"/>
    <w:rsid w:val="00233B8E"/>
    <w:rsid w:val="00235CD2"/>
    <w:rsid w:val="00274803"/>
    <w:rsid w:val="002906A7"/>
    <w:rsid w:val="002A314F"/>
    <w:rsid w:val="002B0FF9"/>
    <w:rsid w:val="002F560C"/>
    <w:rsid w:val="0033164C"/>
    <w:rsid w:val="00340E44"/>
    <w:rsid w:val="003E04CA"/>
    <w:rsid w:val="004124FD"/>
    <w:rsid w:val="004B0A74"/>
    <w:rsid w:val="004C4160"/>
    <w:rsid w:val="00520E21"/>
    <w:rsid w:val="005345A7"/>
    <w:rsid w:val="0054469E"/>
    <w:rsid w:val="005C2996"/>
    <w:rsid w:val="005C64DB"/>
    <w:rsid w:val="005E10B5"/>
    <w:rsid w:val="005F3C50"/>
    <w:rsid w:val="00612EE8"/>
    <w:rsid w:val="00715A4C"/>
    <w:rsid w:val="007204DF"/>
    <w:rsid w:val="0077042C"/>
    <w:rsid w:val="0079087A"/>
    <w:rsid w:val="00790A51"/>
    <w:rsid w:val="007A3765"/>
    <w:rsid w:val="007E51AF"/>
    <w:rsid w:val="00826B96"/>
    <w:rsid w:val="00834595"/>
    <w:rsid w:val="008570B1"/>
    <w:rsid w:val="00857E4C"/>
    <w:rsid w:val="008B02DC"/>
    <w:rsid w:val="00960BD4"/>
    <w:rsid w:val="00967F60"/>
    <w:rsid w:val="00997196"/>
    <w:rsid w:val="009C2FE1"/>
    <w:rsid w:val="009D1515"/>
    <w:rsid w:val="00A403D5"/>
    <w:rsid w:val="00A92235"/>
    <w:rsid w:val="00AA3A59"/>
    <w:rsid w:val="00B15EBE"/>
    <w:rsid w:val="00B546B0"/>
    <w:rsid w:val="00B62259"/>
    <w:rsid w:val="00B73AE1"/>
    <w:rsid w:val="00B95488"/>
    <w:rsid w:val="00BA2728"/>
    <w:rsid w:val="00BE4DA8"/>
    <w:rsid w:val="00C45EFE"/>
    <w:rsid w:val="00C50224"/>
    <w:rsid w:val="00CA642E"/>
    <w:rsid w:val="00CE7657"/>
    <w:rsid w:val="00D05A0D"/>
    <w:rsid w:val="00D56E7B"/>
    <w:rsid w:val="00D7348A"/>
    <w:rsid w:val="00D80017"/>
    <w:rsid w:val="00DE2C51"/>
    <w:rsid w:val="00DF1B91"/>
    <w:rsid w:val="00DF4BC6"/>
    <w:rsid w:val="00E03BDB"/>
    <w:rsid w:val="00E17829"/>
    <w:rsid w:val="00E434B2"/>
    <w:rsid w:val="00E71E35"/>
    <w:rsid w:val="00EC2C06"/>
    <w:rsid w:val="00ED1DBF"/>
    <w:rsid w:val="00ED5C5C"/>
    <w:rsid w:val="00F5775B"/>
    <w:rsid w:val="00F67AB9"/>
    <w:rsid w:val="00F7451C"/>
    <w:rsid w:val="00FA3C71"/>
    <w:rsid w:val="00FB3DDC"/>
    <w:rsid w:val="00FD112B"/>
    <w:rsid w:val="00FF56D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12B"/>
    <w:pPr>
      <w:widowControl w:val="0"/>
      <w:snapToGrid w:val="0"/>
      <w:spacing w:after="0" w:line="240" w:lineRule="auto"/>
    </w:pPr>
    <w:rPr>
      <w:rFonts w:ascii="CG Times" w:eastAsia="Times New Roman" w:hAnsi="CG 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40E4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F6192"/>
    <w:pPr>
      <w:ind w:left="720"/>
      <w:contextualSpacing/>
    </w:pPr>
  </w:style>
  <w:style w:type="table" w:styleId="TableGrid">
    <w:name w:val="Table Grid"/>
    <w:basedOn w:val="TableNormal"/>
    <w:uiPriority w:val="59"/>
    <w:rsid w:val="00CA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5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57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12B"/>
    <w:pPr>
      <w:widowControl w:val="0"/>
      <w:snapToGrid w:val="0"/>
      <w:spacing w:after="0" w:line="240" w:lineRule="auto"/>
    </w:pPr>
    <w:rPr>
      <w:rFonts w:ascii="CG Times" w:eastAsia="Times New Roman" w:hAnsi="CG 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40E4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F6192"/>
    <w:pPr>
      <w:ind w:left="720"/>
      <w:contextualSpacing/>
    </w:pPr>
  </w:style>
  <w:style w:type="table" w:styleId="TableGrid">
    <w:name w:val="Table Grid"/>
    <w:basedOn w:val="TableNormal"/>
    <w:uiPriority w:val="59"/>
    <w:rsid w:val="00CA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5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57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rants.nih.gov/grants/guide/notice-files/NOT-OD-10-0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nts.nih.gov/grants/guide/notice-files/NOT-OD-10-01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macrina</dc:creator>
  <cp:lastModifiedBy>Ann Nichols-Casebolt</cp:lastModifiedBy>
  <cp:revision>2</cp:revision>
  <cp:lastPrinted>2014-04-26T05:03:00Z</cp:lastPrinted>
  <dcterms:created xsi:type="dcterms:W3CDTF">2015-05-19T13:13:00Z</dcterms:created>
  <dcterms:modified xsi:type="dcterms:W3CDTF">2015-05-19T13:13:00Z</dcterms:modified>
</cp:coreProperties>
</file>