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316F" w14:textId="77777777" w:rsidR="0089598A" w:rsidRPr="0089598A" w:rsidRDefault="0089598A" w:rsidP="0089598A">
      <w:pPr>
        <w:pStyle w:val="Cmsor1"/>
        <w:jc w:val="center"/>
        <w:rPr>
          <w:rFonts w:ascii="Times New Roman" w:eastAsia="Calibri" w:hAnsi="Times New Roman" w:cs="Times New Roman"/>
          <w:color w:val="auto"/>
          <w:sz w:val="36"/>
          <w:szCs w:val="24"/>
        </w:rPr>
      </w:pPr>
      <w:r w:rsidRPr="0089598A">
        <w:rPr>
          <w:rFonts w:ascii="Times New Roman" w:eastAsia="Calibri" w:hAnsi="Times New Roman" w:cs="Times New Roman"/>
          <w:color w:val="auto"/>
          <w:sz w:val="44"/>
          <w:szCs w:val="44"/>
        </w:rPr>
        <w:t>VERDA Risk Model Lab – Course Description</w:t>
      </w:r>
    </w:p>
    <w:p w14:paraId="1ABA06C9" w14:textId="77777777" w:rsidR="0089598A" w:rsidRDefault="0089598A" w:rsidP="0089598A">
      <w:pPr>
        <w:rPr>
          <w:rFonts w:ascii="Times New Roman" w:hAnsi="Times New Roman" w:cs="Times New Roman"/>
          <w:b/>
          <w:sz w:val="24"/>
          <w:szCs w:val="24"/>
        </w:rPr>
      </w:pPr>
    </w:p>
    <w:p w14:paraId="2E6B61CF" w14:textId="40E7E146" w:rsid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Course:</w:t>
      </w:r>
      <w:r w:rsidRPr="0089598A">
        <w:rPr>
          <w:rFonts w:ascii="Times New Roman" w:hAnsi="Times New Roman" w:cs="Times New Roman"/>
          <w:sz w:val="24"/>
          <w:szCs w:val="24"/>
        </w:rPr>
        <w:t xml:space="preserve"> Risk and Resilience Modelling of Socio-Technical Manufacturing Systems </w:t>
      </w:r>
    </w:p>
    <w:p w14:paraId="14F61DF4" w14:textId="77777777" w:rsid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Software:</w:t>
      </w:r>
      <w:r w:rsidRPr="0089598A">
        <w:rPr>
          <w:rFonts w:ascii="Times New Roman" w:hAnsi="Times New Roman" w:cs="Times New Roman"/>
          <w:sz w:val="24"/>
          <w:szCs w:val="24"/>
        </w:rPr>
        <w:t xml:space="preserve"> VERDA Risk Model Lab v1.0 </w:t>
      </w:r>
    </w:p>
    <w:p w14:paraId="4218CF9F" w14:textId="68941BA9"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Developer:</w:t>
      </w:r>
      <w:r w:rsidRPr="0089598A">
        <w:rPr>
          <w:rFonts w:ascii="Times New Roman" w:hAnsi="Times New Roman" w:cs="Times New Roman"/>
          <w:sz w:val="24"/>
          <w:szCs w:val="24"/>
        </w:rPr>
        <w:t xml:space="preserve"> József Szeles, Department of System Engineering, University of Pannonia</w:t>
      </w:r>
    </w:p>
    <w:p w14:paraId="4CE1E851" w14:textId="77777777" w:rsidR="0089598A" w:rsidRPr="0089598A" w:rsidRDefault="0089598A" w:rsidP="0089598A">
      <w:pPr>
        <w:pStyle w:val="Cmsor2"/>
        <w:rPr>
          <w:rFonts w:ascii="Times New Roman" w:eastAsia="Calibri" w:hAnsi="Times New Roman" w:cs="Times New Roman"/>
          <w:color w:val="auto"/>
          <w:sz w:val="36"/>
          <w:szCs w:val="36"/>
        </w:rPr>
      </w:pPr>
      <w:r w:rsidRPr="0089598A">
        <w:rPr>
          <w:rFonts w:ascii="Times New Roman" w:eastAsia="Calibri" w:hAnsi="Times New Roman" w:cs="Times New Roman"/>
          <w:color w:val="auto"/>
          <w:sz w:val="36"/>
          <w:szCs w:val="36"/>
        </w:rPr>
        <w:t>1. Course overview</w:t>
      </w:r>
    </w:p>
    <w:p w14:paraId="119A584D"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 xml:space="preserve">Students learn to understand, validate and use a ready risk model of a manufacturing system — not to </w:t>
      </w:r>
      <w:proofErr w:type="spellStart"/>
      <w:r w:rsidRPr="0089598A">
        <w:rPr>
          <w:rFonts w:ascii="Times New Roman" w:hAnsi="Times New Roman" w:cs="Times New Roman"/>
          <w:sz w:val="24"/>
          <w:szCs w:val="24"/>
        </w:rPr>
        <w:t>memorise</w:t>
      </w:r>
      <w:proofErr w:type="spellEnd"/>
      <w:r w:rsidRPr="0089598A">
        <w:rPr>
          <w:rFonts w:ascii="Times New Roman" w:hAnsi="Times New Roman" w:cs="Times New Roman"/>
          <w:sz w:val="24"/>
          <w:szCs w:val="24"/>
        </w:rPr>
        <w:t xml:space="preserve"> risk theory. Every session is hands-on work </w:t>
      </w:r>
      <w:proofErr w:type="gramStart"/>
      <w:r w:rsidRPr="0089598A">
        <w:rPr>
          <w:rFonts w:ascii="Times New Roman" w:hAnsi="Times New Roman" w:cs="Times New Roman"/>
          <w:sz w:val="24"/>
          <w:szCs w:val="24"/>
        </w:rPr>
        <w:t>in</w:t>
      </w:r>
      <w:proofErr w:type="gramEnd"/>
      <w:r w:rsidRPr="0089598A">
        <w:rPr>
          <w:rFonts w:ascii="Times New Roman" w:hAnsi="Times New Roman" w:cs="Times New Roman"/>
          <w:sz w:val="24"/>
          <w:szCs w:val="24"/>
        </w:rPr>
        <w:t xml:space="preserve"> the VERDA Risk Model Lab software.</w:t>
      </w:r>
    </w:p>
    <w:p w14:paraId="693A3286"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 xml:space="preserve">The model describes VERDA, a fictional small-batch skincare production cell, in two layers: a fault tree (FTA) and a Bayesian network (BN) built on the same logic. Students receive the </w:t>
      </w:r>
      <w:proofErr w:type="gramStart"/>
      <w:r w:rsidRPr="0089598A">
        <w:rPr>
          <w:rFonts w:ascii="Times New Roman" w:hAnsi="Times New Roman" w:cs="Times New Roman"/>
          <w:sz w:val="24"/>
          <w:szCs w:val="24"/>
        </w:rPr>
        <w:t>model ready-made</w:t>
      </w:r>
      <w:proofErr w:type="gramEnd"/>
      <w:r w:rsidRPr="0089598A">
        <w:rPr>
          <w:rFonts w:ascii="Times New Roman" w:hAnsi="Times New Roman" w:cs="Times New Roman"/>
          <w:sz w:val="24"/>
          <w:szCs w:val="24"/>
        </w:rPr>
        <w:t>. The course makes sure they understand how it works, then asks them to run, check, change and defend it.</w:t>
      </w:r>
    </w:p>
    <w:p w14:paraId="78B1337D"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The risk topics — human factors, process quality, digital controls, recovery and cybersecurity — are the content of the model, not the goal of the course. The guiding shift is from "What can go wrong?" (fault tree) to "What happens afterwards?" (Bayesian network with evidence and recovery options).</w:t>
      </w:r>
    </w:p>
    <w:p w14:paraId="4111496E"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The course material has three documents: this course description, the software guide (VERDA Risk Model Lab – Software Guide) with installation, tab-by-tab instructions and the model reference, and the lab exercises (VERDA Risk Model Lab – Lab Exercises) with six event-based labs, the final assignment and the instructor answer key.</w:t>
      </w:r>
    </w:p>
    <w:p w14:paraId="4F3AE716" w14:textId="77777777" w:rsidR="0089598A" w:rsidRPr="0089598A" w:rsidRDefault="0089598A" w:rsidP="0089598A">
      <w:pPr>
        <w:pStyle w:val="Cmsor2"/>
        <w:rPr>
          <w:rFonts w:ascii="Times New Roman" w:eastAsia="Calibri" w:hAnsi="Times New Roman" w:cs="Times New Roman"/>
          <w:color w:val="auto"/>
          <w:sz w:val="36"/>
          <w:szCs w:val="36"/>
        </w:rPr>
      </w:pPr>
      <w:r w:rsidRPr="0089598A">
        <w:rPr>
          <w:rFonts w:ascii="Times New Roman" w:eastAsia="Calibri" w:hAnsi="Times New Roman" w:cs="Times New Roman"/>
          <w:color w:val="auto"/>
          <w:sz w:val="36"/>
          <w:szCs w:val="36"/>
        </w:rPr>
        <w:t>2. Learning outcomes</w:t>
      </w:r>
    </w:p>
    <w:p w14:paraId="21C026F0"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 xml:space="preserve">By the end of the course, students </w:t>
      </w:r>
      <w:proofErr w:type="gramStart"/>
      <w:r w:rsidRPr="0089598A">
        <w:rPr>
          <w:rFonts w:ascii="Times New Roman" w:hAnsi="Times New Roman" w:cs="Times New Roman"/>
          <w:sz w:val="24"/>
          <w:szCs w:val="24"/>
        </w:rPr>
        <w:t>are able to</w:t>
      </w:r>
      <w:proofErr w:type="gramEnd"/>
      <w:r w:rsidRPr="0089598A">
        <w:rPr>
          <w:rFonts w:ascii="Times New Roman" w:hAnsi="Times New Roman" w:cs="Times New Roman"/>
          <w:sz w:val="24"/>
          <w:szCs w:val="24"/>
        </w:rPr>
        <w:t>:</w:t>
      </w:r>
    </w:p>
    <w:p w14:paraId="63A286E6"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Explain the structure, assumptions and limits of a given fault tree and Bayesian network of a socio-technical manufacturing system.</w:t>
      </w:r>
    </w:p>
    <w:p w14:paraId="6D1E0ADB"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Verify that a model is built correctly: its logic, gates, probability tables and calculations.</w:t>
      </w:r>
    </w:p>
    <w:p w14:paraId="34936394"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Validate an existing model against operational data and judge whether it is fit for a given question.</w:t>
      </w:r>
    </w:p>
    <w:p w14:paraId="155FED86"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Use a model to answer practical questions through scenario, sensitivity and what-if analysis.</w:t>
      </w:r>
    </w:p>
    <w:p w14:paraId="1C27EF78"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 xml:space="preserve">Represent human, process, digital and </w:t>
      </w:r>
      <w:proofErr w:type="spellStart"/>
      <w:r w:rsidRPr="0089598A">
        <w:rPr>
          <w:rFonts w:ascii="Times New Roman" w:hAnsi="Times New Roman" w:cs="Times New Roman"/>
          <w:sz w:val="24"/>
          <w:szCs w:val="24"/>
        </w:rPr>
        <w:t>organisational</w:t>
      </w:r>
      <w:proofErr w:type="spellEnd"/>
      <w:r w:rsidRPr="0089598A">
        <w:rPr>
          <w:rFonts w:ascii="Times New Roman" w:hAnsi="Times New Roman" w:cs="Times New Roman"/>
          <w:sz w:val="24"/>
          <w:szCs w:val="24"/>
        </w:rPr>
        <w:t xml:space="preserve"> factors as model parameters, and change them when the system changes.</w:t>
      </w:r>
    </w:p>
    <w:p w14:paraId="431A9481"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Compare improvement and recovery options with model results and recommend one.</w:t>
      </w:r>
    </w:p>
    <w:p w14:paraId="6DBFDE65" w14:textId="77777777" w:rsidR="0089598A" w:rsidRPr="0089598A" w:rsidRDefault="0089598A" w:rsidP="0089598A">
      <w:pPr>
        <w:pStyle w:val="Listaszerbekezds"/>
        <w:numPr>
          <w:ilvl w:val="0"/>
          <w:numId w:val="11"/>
        </w:numPr>
        <w:rPr>
          <w:rFonts w:ascii="Times New Roman" w:hAnsi="Times New Roman" w:cs="Times New Roman"/>
          <w:sz w:val="24"/>
          <w:szCs w:val="24"/>
        </w:rPr>
      </w:pPr>
      <w:r w:rsidRPr="0089598A">
        <w:rPr>
          <w:rFonts w:ascii="Times New Roman" w:hAnsi="Times New Roman" w:cs="Times New Roman"/>
          <w:sz w:val="24"/>
          <w:szCs w:val="24"/>
        </w:rPr>
        <w:t>Communicate model results and their uncertainty to engineers and managers.</w:t>
      </w:r>
    </w:p>
    <w:p w14:paraId="74C3B81B" w14:textId="77777777" w:rsidR="0089598A" w:rsidRPr="0089598A" w:rsidRDefault="0089598A" w:rsidP="0089598A">
      <w:pPr>
        <w:pStyle w:val="Cmsor2"/>
        <w:rPr>
          <w:rFonts w:ascii="Times New Roman" w:eastAsia="Calibri" w:hAnsi="Times New Roman" w:cs="Times New Roman"/>
          <w:color w:val="auto"/>
          <w:sz w:val="36"/>
          <w:szCs w:val="36"/>
        </w:rPr>
      </w:pPr>
      <w:r w:rsidRPr="0089598A">
        <w:rPr>
          <w:rFonts w:ascii="Times New Roman" w:eastAsia="Calibri" w:hAnsi="Times New Roman" w:cs="Times New Roman"/>
          <w:color w:val="auto"/>
          <w:sz w:val="36"/>
          <w:szCs w:val="36"/>
        </w:rPr>
        <w:lastRenderedPageBreak/>
        <w:t>3. Course structure and assessment</w:t>
      </w:r>
    </w:p>
    <w:p w14:paraId="137AE7E9"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The course has six modules and a final assignment. Each module pairs one risk topic with one model skill and follows the same three steps: short theory, a guided walkthrough of the relevant part of the model, and a lab exercise in the software.</w:t>
      </w:r>
    </w:p>
    <w:tbl>
      <w:tblPr>
        <w:tblStyle w:val="Rcsostblzat"/>
        <w:tblW w:w="0" w:type="auto"/>
        <w:tblInd w:w="0" w:type="dxa"/>
        <w:tblLayout w:type="fixed"/>
        <w:tblLook w:val="0420" w:firstRow="1" w:lastRow="0" w:firstColumn="0" w:lastColumn="0" w:noHBand="0" w:noVBand="1"/>
      </w:tblPr>
      <w:tblGrid>
        <w:gridCol w:w="2340"/>
        <w:gridCol w:w="2340"/>
        <w:gridCol w:w="2340"/>
        <w:gridCol w:w="2340"/>
      </w:tblGrid>
      <w:tr w:rsidR="0089598A" w:rsidRPr="0089598A" w14:paraId="7A9361EF"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D1F921C"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Module</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F352C69"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Risk topic</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5F5BC3E"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Model skill</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F43795B"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Main software tabs</w:t>
            </w:r>
          </w:p>
        </w:tc>
      </w:tr>
      <w:tr w:rsidR="0089598A" w:rsidRPr="0089598A" w14:paraId="397E6C5D" w14:textId="77777777">
        <w:tc>
          <w:tcPr>
            <w:tcW w:w="2340" w:type="dxa"/>
            <w:tcBorders>
              <w:top w:val="single" w:sz="4" w:space="0" w:color="auto"/>
              <w:left w:val="single" w:sz="4" w:space="0" w:color="auto"/>
              <w:bottom w:val="single" w:sz="4" w:space="0" w:color="auto"/>
              <w:right w:val="single" w:sz="4" w:space="0" w:color="auto"/>
            </w:tcBorders>
            <w:hideMark/>
          </w:tcPr>
          <w:p w14:paraId="032111C7"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hideMark/>
          </w:tcPr>
          <w:p w14:paraId="26B3ADD3"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Risk in socio-technical systems</w:t>
            </w:r>
          </w:p>
        </w:tc>
        <w:tc>
          <w:tcPr>
            <w:tcW w:w="2340" w:type="dxa"/>
            <w:tcBorders>
              <w:top w:val="single" w:sz="4" w:space="0" w:color="auto"/>
              <w:left w:val="single" w:sz="4" w:space="0" w:color="auto"/>
              <w:bottom w:val="single" w:sz="4" w:space="0" w:color="auto"/>
              <w:right w:val="single" w:sz="4" w:space="0" w:color="auto"/>
            </w:tcBorders>
            <w:hideMark/>
          </w:tcPr>
          <w:p w14:paraId="562049C6"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Read and trace a fault tree; verify its structure</w:t>
            </w:r>
          </w:p>
        </w:tc>
        <w:tc>
          <w:tcPr>
            <w:tcW w:w="2340" w:type="dxa"/>
            <w:tcBorders>
              <w:top w:val="single" w:sz="4" w:space="0" w:color="auto"/>
              <w:left w:val="single" w:sz="4" w:space="0" w:color="auto"/>
              <w:bottom w:val="single" w:sz="4" w:space="0" w:color="auto"/>
              <w:right w:val="single" w:sz="4" w:space="0" w:color="auto"/>
            </w:tcBorders>
            <w:hideMark/>
          </w:tcPr>
          <w:p w14:paraId="2FBB24C5"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w:t>
            </w:r>
          </w:p>
        </w:tc>
      </w:tr>
      <w:tr w:rsidR="0089598A" w:rsidRPr="0089598A" w14:paraId="37565AD3" w14:textId="77777777">
        <w:tc>
          <w:tcPr>
            <w:tcW w:w="2340" w:type="dxa"/>
            <w:tcBorders>
              <w:top w:val="single" w:sz="4" w:space="0" w:color="auto"/>
              <w:left w:val="single" w:sz="4" w:space="0" w:color="auto"/>
              <w:bottom w:val="single" w:sz="4" w:space="0" w:color="auto"/>
              <w:right w:val="single" w:sz="4" w:space="0" w:color="auto"/>
            </w:tcBorders>
            <w:hideMark/>
          </w:tcPr>
          <w:p w14:paraId="420FFA9C"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hideMark/>
          </w:tcPr>
          <w:p w14:paraId="7A0E0FCE"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Human factors and ergonomics</w:t>
            </w:r>
          </w:p>
        </w:tc>
        <w:tc>
          <w:tcPr>
            <w:tcW w:w="2340" w:type="dxa"/>
            <w:tcBorders>
              <w:top w:val="single" w:sz="4" w:space="0" w:color="auto"/>
              <w:left w:val="single" w:sz="4" w:space="0" w:color="auto"/>
              <w:bottom w:val="single" w:sz="4" w:space="0" w:color="auto"/>
              <w:right w:val="single" w:sz="4" w:space="0" w:color="auto"/>
            </w:tcBorders>
            <w:hideMark/>
          </w:tcPr>
          <w:p w14:paraId="08814993"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Change parameters; compare scenarios</w:t>
            </w:r>
          </w:p>
        </w:tc>
        <w:tc>
          <w:tcPr>
            <w:tcW w:w="2340" w:type="dxa"/>
            <w:tcBorders>
              <w:top w:val="single" w:sz="4" w:space="0" w:color="auto"/>
              <w:left w:val="single" w:sz="4" w:space="0" w:color="auto"/>
              <w:bottom w:val="single" w:sz="4" w:space="0" w:color="auto"/>
              <w:right w:val="single" w:sz="4" w:space="0" w:color="auto"/>
            </w:tcBorders>
            <w:hideMark/>
          </w:tcPr>
          <w:p w14:paraId="62F04A11"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1, 2</w:t>
            </w:r>
          </w:p>
        </w:tc>
      </w:tr>
      <w:tr w:rsidR="0089598A" w:rsidRPr="0089598A" w14:paraId="681B2A39" w14:textId="77777777">
        <w:tc>
          <w:tcPr>
            <w:tcW w:w="2340" w:type="dxa"/>
            <w:tcBorders>
              <w:top w:val="single" w:sz="4" w:space="0" w:color="auto"/>
              <w:left w:val="single" w:sz="4" w:space="0" w:color="auto"/>
              <w:bottom w:val="single" w:sz="4" w:space="0" w:color="auto"/>
              <w:right w:val="single" w:sz="4" w:space="0" w:color="auto"/>
            </w:tcBorders>
            <w:hideMark/>
          </w:tcPr>
          <w:p w14:paraId="06E712AB"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hideMark/>
          </w:tcPr>
          <w:p w14:paraId="69C3DE92"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Process and quality risks</w:t>
            </w:r>
          </w:p>
        </w:tc>
        <w:tc>
          <w:tcPr>
            <w:tcW w:w="2340" w:type="dxa"/>
            <w:tcBorders>
              <w:top w:val="single" w:sz="4" w:space="0" w:color="auto"/>
              <w:left w:val="single" w:sz="4" w:space="0" w:color="auto"/>
              <w:bottom w:val="single" w:sz="4" w:space="0" w:color="auto"/>
              <w:right w:val="single" w:sz="4" w:space="0" w:color="auto"/>
            </w:tcBorders>
            <w:hideMark/>
          </w:tcPr>
          <w:p w14:paraId="1A3E6693"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Cut sets, importance, sensitivity; validation with data</w:t>
            </w:r>
          </w:p>
        </w:tc>
        <w:tc>
          <w:tcPr>
            <w:tcW w:w="2340" w:type="dxa"/>
            <w:tcBorders>
              <w:top w:val="single" w:sz="4" w:space="0" w:color="auto"/>
              <w:left w:val="single" w:sz="4" w:space="0" w:color="auto"/>
              <w:bottom w:val="single" w:sz="4" w:space="0" w:color="auto"/>
              <w:right w:val="single" w:sz="4" w:space="0" w:color="auto"/>
            </w:tcBorders>
            <w:hideMark/>
          </w:tcPr>
          <w:p w14:paraId="66F1DF94"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1, 2, 3, 4</w:t>
            </w:r>
          </w:p>
        </w:tc>
      </w:tr>
      <w:tr w:rsidR="0089598A" w:rsidRPr="0089598A" w14:paraId="71614F0E" w14:textId="77777777">
        <w:tc>
          <w:tcPr>
            <w:tcW w:w="2340" w:type="dxa"/>
            <w:tcBorders>
              <w:top w:val="single" w:sz="4" w:space="0" w:color="auto"/>
              <w:left w:val="single" w:sz="4" w:space="0" w:color="auto"/>
              <w:bottom w:val="single" w:sz="4" w:space="0" w:color="auto"/>
              <w:right w:val="single" w:sz="4" w:space="0" w:color="auto"/>
            </w:tcBorders>
            <w:hideMark/>
          </w:tcPr>
          <w:p w14:paraId="752FB767"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4</w:t>
            </w:r>
          </w:p>
        </w:tc>
        <w:tc>
          <w:tcPr>
            <w:tcW w:w="2340" w:type="dxa"/>
            <w:tcBorders>
              <w:top w:val="single" w:sz="4" w:space="0" w:color="auto"/>
              <w:left w:val="single" w:sz="4" w:space="0" w:color="auto"/>
              <w:bottom w:val="single" w:sz="4" w:space="0" w:color="auto"/>
              <w:right w:val="single" w:sz="4" w:space="0" w:color="auto"/>
            </w:tcBorders>
            <w:hideMark/>
          </w:tcPr>
          <w:p w14:paraId="429BDD6F"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Digital controls and human support</w:t>
            </w:r>
          </w:p>
        </w:tc>
        <w:tc>
          <w:tcPr>
            <w:tcW w:w="2340" w:type="dxa"/>
            <w:tcBorders>
              <w:top w:val="single" w:sz="4" w:space="0" w:color="auto"/>
              <w:left w:val="single" w:sz="4" w:space="0" w:color="auto"/>
              <w:bottom w:val="single" w:sz="4" w:space="0" w:color="auto"/>
              <w:right w:val="single" w:sz="4" w:space="0" w:color="auto"/>
            </w:tcBorders>
            <w:hideMark/>
          </w:tcPr>
          <w:p w14:paraId="708ABE44"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Model a new dependency; find break-even conditions</w:t>
            </w:r>
          </w:p>
        </w:tc>
        <w:tc>
          <w:tcPr>
            <w:tcW w:w="2340" w:type="dxa"/>
            <w:tcBorders>
              <w:top w:val="single" w:sz="4" w:space="0" w:color="auto"/>
              <w:left w:val="single" w:sz="4" w:space="0" w:color="auto"/>
              <w:bottom w:val="single" w:sz="4" w:space="0" w:color="auto"/>
              <w:right w:val="single" w:sz="4" w:space="0" w:color="auto"/>
            </w:tcBorders>
            <w:hideMark/>
          </w:tcPr>
          <w:p w14:paraId="15B239D5"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3</w:t>
            </w:r>
          </w:p>
        </w:tc>
      </w:tr>
      <w:tr w:rsidR="0089598A" w:rsidRPr="0089598A" w14:paraId="54F310E2" w14:textId="77777777">
        <w:tc>
          <w:tcPr>
            <w:tcW w:w="2340" w:type="dxa"/>
            <w:tcBorders>
              <w:top w:val="single" w:sz="4" w:space="0" w:color="auto"/>
              <w:left w:val="single" w:sz="4" w:space="0" w:color="auto"/>
              <w:bottom w:val="single" w:sz="4" w:space="0" w:color="auto"/>
              <w:right w:val="single" w:sz="4" w:space="0" w:color="auto"/>
            </w:tcBorders>
            <w:hideMark/>
          </w:tcPr>
          <w:p w14:paraId="3D22D282"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5</w:t>
            </w:r>
          </w:p>
        </w:tc>
        <w:tc>
          <w:tcPr>
            <w:tcW w:w="2340" w:type="dxa"/>
            <w:tcBorders>
              <w:top w:val="single" w:sz="4" w:space="0" w:color="auto"/>
              <w:left w:val="single" w:sz="4" w:space="0" w:color="auto"/>
              <w:bottom w:val="single" w:sz="4" w:space="0" w:color="auto"/>
              <w:right w:val="single" w:sz="4" w:space="0" w:color="auto"/>
            </w:tcBorders>
            <w:hideMark/>
          </w:tcPr>
          <w:p w14:paraId="7BF299F8"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Operational resilience and recovery</w:t>
            </w:r>
          </w:p>
        </w:tc>
        <w:tc>
          <w:tcPr>
            <w:tcW w:w="2340" w:type="dxa"/>
            <w:tcBorders>
              <w:top w:val="single" w:sz="4" w:space="0" w:color="auto"/>
              <w:left w:val="single" w:sz="4" w:space="0" w:color="auto"/>
              <w:bottom w:val="single" w:sz="4" w:space="0" w:color="auto"/>
              <w:right w:val="single" w:sz="4" w:space="0" w:color="auto"/>
            </w:tcBorders>
            <w:hideMark/>
          </w:tcPr>
          <w:p w14:paraId="2509A9A5"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Evidence, diagnosis and intervention queries</w:t>
            </w:r>
          </w:p>
        </w:tc>
        <w:tc>
          <w:tcPr>
            <w:tcW w:w="2340" w:type="dxa"/>
            <w:tcBorders>
              <w:top w:val="single" w:sz="4" w:space="0" w:color="auto"/>
              <w:left w:val="single" w:sz="4" w:space="0" w:color="auto"/>
              <w:bottom w:val="single" w:sz="4" w:space="0" w:color="auto"/>
              <w:right w:val="single" w:sz="4" w:space="0" w:color="auto"/>
            </w:tcBorders>
            <w:hideMark/>
          </w:tcPr>
          <w:p w14:paraId="7EBDDDCE"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3</w:t>
            </w:r>
          </w:p>
        </w:tc>
      </w:tr>
      <w:tr w:rsidR="0089598A" w:rsidRPr="0089598A" w14:paraId="7E7E4AE8" w14:textId="77777777">
        <w:tc>
          <w:tcPr>
            <w:tcW w:w="2340" w:type="dxa"/>
            <w:tcBorders>
              <w:top w:val="single" w:sz="4" w:space="0" w:color="auto"/>
              <w:left w:val="single" w:sz="4" w:space="0" w:color="auto"/>
              <w:bottom w:val="single" w:sz="4" w:space="0" w:color="auto"/>
              <w:right w:val="single" w:sz="4" w:space="0" w:color="auto"/>
            </w:tcBorders>
            <w:hideMark/>
          </w:tcPr>
          <w:p w14:paraId="0BDBA16B"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6</w:t>
            </w:r>
          </w:p>
        </w:tc>
        <w:tc>
          <w:tcPr>
            <w:tcW w:w="2340" w:type="dxa"/>
            <w:tcBorders>
              <w:top w:val="single" w:sz="4" w:space="0" w:color="auto"/>
              <w:left w:val="single" w:sz="4" w:space="0" w:color="auto"/>
              <w:bottom w:val="single" w:sz="4" w:space="0" w:color="auto"/>
              <w:right w:val="single" w:sz="4" w:space="0" w:color="auto"/>
            </w:tcBorders>
            <w:hideMark/>
          </w:tcPr>
          <w:p w14:paraId="03CC4E41"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Data, cybersecurity and system dependence</w:t>
            </w:r>
          </w:p>
        </w:tc>
        <w:tc>
          <w:tcPr>
            <w:tcW w:w="2340" w:type="dxa"/>
            <w:tcBorders>
              <w:top w:val="single" w:sz="4" w:space="0" w:color="auto"/>
              <w:left w:val="single" w:sz="4" w:space="0" w:color="auto"/>
              <w:bottom w:val="single" w:sz="4" w:space="0" w:color="auto"/>
              <w:right w:val="single" w:sz="4" w:space="0" w:color="auto"/>
            </w:tcBorders>
            <w:hideMark/>
          </w:tcPr>
          <w:p w14:paraId="4FE2D8EC"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Stress-test the model; state its limits</w:t>
            </w:r>
          </w:p>
        </w:tc>
        <w:tc>
          <w:tcPr>
            <w:tcW w:w="2340" w:type="dxa"/>
            <w:tcBorders>
              <w:top w:val="single" w:sz="4" w:space="0" w:color="auto"/>
              <w:left w:val="single" w:sz="4" w:space="0" w:color="auto"/>
              <w:bottom w:val="single" w:sz="4" w:space="0" w:color="auto"/>
              <w:right w:val="single" w:sz="4" w:space="0" w:color="auto"/>
            </w:tcBorders>
            <w:hideMark/>
          </w:tcPr>
          <w:p w14:paraId="4CA8B03F"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1, 3</w:t>
            </w:r>
          </w:p>
        </w:tc>
      </w:tr>
      <w:tr w:rsidR="0089598A" w:rsidRPr="0089598A" w14:paraId="6CA5FF65" w14:textId="77777777">
        <w:tc>
          <w:tcPr>
            <w:tcW w:w="2340" w:type="dxa"/>
            <w:tcBorders>
              <w:top w:val="single" w:sz="4" w:space="0" w:color="auto"/>
              <w:left w:val="single" w:sz="4" w:space="0" w:color="auto"/>
              <w:bottom w:val="single" w:sz="4" w:space="0" w:color="auto"/>
              <w:right w:val="single" w:sz="4" w:space="0" w:color="auto"/>
            </w:tcBorders>
            <w:hideMark/>
          </w:tcPr>
          <w:p w14:paraId="4E0CA74F"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Final</w:t>
            </w:r>
          </w:p>
        </w:tc>
        <w:tc>
          <w:tcPr>
            <w:tcW w:w="2340" w:type="dxa"/>
            <w:tcBorders>
              <w:top w:val="single" w:sz="4" w:space="0" w:color="auto"/>
              <w:left w:val="single" w:sz="4" w:space="0" w:color="auto"/>
              <w:bottom w:val="single" w:sz="4" w:space="0" w:color="auto"/>
              <w:right w:val="single" w:sz="4" w:space="0" w:color="auto"/>
            </w:tcBorders>
            <w:hideMark/>
          </w:tcPr>
          <w:p w14:paraId="567B5372"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All</w:t>
            </w:r>
          </w:p>
        </w:tc>
        <w:tc>
          <w:tcPr>
            <w:tcW w:w="2340" w:type="dxa"/>
            <w:tcBorders>
              <w:top w:val="single" w:sz="4" w:space="0" w:color="auto"/>
              <w:left w:val="single" w:sz="4" w:space="0" w:color="auto"/>
              <w:bottom w:val="single" w:sz="4" w:space="0" w:color="auto"/>
              <w:right w:val="single" w:sz="4" w:space="0" w:color="auto"/>
            </w:tcBorders>
            <w:hideMark/>
          </w:tcPr>
          <w:p w14:paraId="543D1CC5"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Verify, validate, correct and use a flawed model</w:t>
            </w:r>
          </w:p>
        </w:tc>
        <w:tc>
          <w:tcPr>
            <w:tcW w:w="2340" w:type="dxa"/>
            <w:tcBorders>
              <w:top w:val="single" w:sz="4" w:space="0" w:color="auto"/>
              <w:left w:val="single" w:sz="4" w:space="0" w:color="auto"/>
              <w:bottom w:val="single" w:sz="4" w:space="0" w:color="auto"/>
              <w:right w:val="single" w:sz="4" w:space="0" w:color="auto"/>
            </w:tcBorders>
            <w:hideMark/>
          </w:tcPr>
          <w:p w14:paraId="4785A209"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All</w:t>
            </w:r>
          </w:p>
        </w:tc>
      </w:tr>
    </w:tbl>
    <w:p w14:paraId="3743B483"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Suggested schedule: one module per two-week block (one lecture, one lab), the final assignment in the last two weeks.</w:t>
      </w:r>
    </w:p>
    <w:p w14:paraId="3B70D1F1" w14:textId="77777777" w:rsidR="0089598A" w:rsidRPr="0089598A" w:rsidRDefault="0089598A" w:rsidP="0089598A">
      <w:pPr>
        <w:pStyle w:val="Cmsor3"/>
        <w:rPr>
          <w:rFonts w:ascii="Times New Roman" w:eastAsia="Calibri" w:hAnsi="Times New Roman" w:cs="Times New Roman"/>
          <w:color w:val="auto"/>
          <w:sz w:val="32"/>
          <w:szCs w:val="32"/>
        </w:rPr>
      </w:pPr>
      <w:r w:rsidRPr="0089598A">
        <w:rPr>
          <w:rFonts w:ascii="Times New Roman" w:eastAsia="Calibri" w:hAnsi="Times New Roman" w:cs="Times New Roman"/>
          <w:color w:val="auto"/>
          <w:sz w:val="32"/>
          <w:szCs w:val="32"/>
        </w:rPr>
        <w:t>Assessment</w:t>
      </w:r>
    </w:p>
    <w:tbl>
      <w:tblPr>
        <w:tblStyle w:val="Rcsostblzat"/>
        <w:tblW w:w="0" w:type="auto"/>
        <w:tblInd w:w="0" w:type="dxa"/>
        <w:tblLayout w:type="fixed"/>
        <w:tblLook w:val="0420" w:firstRow="1" w:lastRow="0" w:firstColumn="0" w:lastColumn="0" w:noHBand="0" w:noVBand="1"/>
      </w:tblPr>
      <w:tblGrid>
        <w:gridCol w:w="3120"/>
        <w:gridCol w:w="3120"/>
        <w:gridCol w:w="3120"/>
      </w:tblGrid>
      <w:tr w:rsidR="0089598A" w:rsidRPr="0089598A" w14:paraId="5D0B6AF4"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7232E7E9"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Component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5F7BBEC"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Weight</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BF12454"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What is assessed</w:t>
            </w:r>
          </w:p>
        </w:tc>
      </w:tr>
      <w:tr w:rsidR="0089598A" w:rsidRPr="0089598A" w14:paraId="32DEC7E7" w14:textId="77777777">
        <w:tc>
          <w:tcPr>
            <w:tcW w:w="3120" w:type="dxa"/>
            <w:tcBorders>
              <w:top w:val="single" w:sz="4" w:space="0" w:color="auto"/>
              <w:left w:val="single" w:sz="4" w:space="0" w:color="auto"/>
              <w:bottom w:val="single" w:sz="4" w:space="0" w:color="auto"/>
              <w:right w:val="single" w:sz="4" w:space="0" w:color="auto"/>
            </w:tcBorders>
            <w:hideMark/>
          </w:tcPr>
          <w:p w14:paraId="1A12F493"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Lab reports, Modules 1–6</w:t>
            </w:r>
          </w:p>
        </w:tc>
        <w:tc>
          <w:tcPr>
            <w:tcW w:w="3120" w:type="dxa"/>
            <w:tcBorders>
              <w:top w:val="single" w:sz="4" w:space="0" w:color="auto"/>
              <w:left w:val="single" w:sz="4" w:space="0" w:color="auto"/>
              <w:bottom w:val="single" w:sz="4" w:space="0" w:color="auto"/>
              <w:right w:val="single" w:sz="4" w:space="0" w:color="auto"/>
            </w:tcBorders>
            <w:hideMark/>
          </w:tcPr>
          <w:p w14:paraId="643D6E63"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50 % (6 × about 8 %)</w:t>
            </w:r>
          </w:p>
        </w:tc>
        <w:tc>
          <w:tcPr>
            <w:tcW w:w="3120" w:type="dxa"/>
            <w:tcBorders>
              <w:top w:val="single" w:sz="4" w:space="0" w:color="auto"/>
              <w:left w:val="single" w:sz="4" w:space="0" w:color="auto"/>
              <w:bottom w:val="single" w:sz="4" w:space="0" w:color="auto"/>
              <w:right w:val="single" w:sz="4" w:space="0" w:color="auto"/>
            </w:tcBorders>
            <w:hideMark/>
          </w:tcPr>
          <w:p w14:paraId="23C0B4A4"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Correct use of the software, correct numbers, sound interpretation</w:t>
            </w:r>
          </w:p>
        </w:tc>
      </w:tr>
      <w:tr w:rsidR="0089598A" w:rsidRPr="0089598A" w14:paraId="6F947C30" w14:textId="77777777">
        <w:tc>
          <w:tcPr>
            <w:tcW w:w="3120" w:type="dxa"/>
            <w:tcBorders>
              <w:top w:val="single" w:sz="4" w:space="0" w:color="auto"/>
              <w:left w:val="single" w:sz="4" w:space="0" w:color="auto"/>
              <w:bottom w:val="single" w:sz="4" w:space="0" w:color="auto"/>
              <w:right w:val="single" w:sz="4" w:space="0" w:color="auto"/>
            </w:tcBorders>
            <w:hideMark/>
          </w:tcPr>
          <w:p w14:paraId="27A7B7F8"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lastRenderedPageBreak/>
              <w:t>Final model assignment</w:t>
            </w:r>
          </w:p>
        </w:tc>
        <w:tc>
          <w:tcPr>
            <w:tcW w:w="3120" w:type="dxa"/>
            <w:tcBorders>
              <w:top w:val="single" w:sz="4" w:space="0" w:color="auto"/>
              <w:left w:val="single" w:sz="4" w:space="0" w:color="auto"/>
              <w:bottom w:val="single" w:sz="4" w:space="0" w:color="auto"/>
              <w:right w:val="single" w:sz="4" w:space="0" w:color="auto"/>
            </w:tcBorders>
            <w:hideMark/>
          </w:tcPr>
          <w:p w14:paraId="684970C5"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40 %</w:t>
            </w:r>
          </w:p>
        </w:tc>
        <w:tc>
          <w:tcPr>
            <w:tcW w:w="3120" w:type="dxa"/>
            <w:tcBorders>
              <w:top w:val="single" w:sz="4" w:space="0" w:color="auto"/>
              <w:left w:val="single" w:sz="4" w:space="0" w:color="auto"/>
              <w:bottom w:val="single" w:sz="4" w:space="0" w:color="auto"/>
              <w:right w:val="single" w:sz="4" w:space="0" w:color="auto"/>
            </w:tcBorders>
            <w:hideMark/>
          </w:tcPr>
          <w:p w14:paraId="647820F0"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Verification, validation, correction, management recommendation</w:t>
            </w:r>
          </w:p>
        </w:tc>
      </w:tr>
      <w:tr w:rsidR="0089598A" w:rsidRPr="0089598A" w14:paraId="08422A4A" w14:textId="77777777">
        <w:tc>
          <w:tcPr>
            <w:tcW w:w="3120" w:type="dxa"/>
            <w:tcBorders>
              <w:top w:val="single" w:sz="4" w:space="0" w:color="auto"/>
              <w:left w:val="single" w:sz="4" w:space="0" w:color="auto"/>
              <w:bottom w:val="single" w:sz="4" w:space="0" w:color="auto"/>
              <w:right w:val="single" w:sz="4" w:space="0" w:color="auto"/>
            </w:tcBorders>
            <w:hideMark/>
          </w:tcPr>
          <w:p w14:paraId="2E6D37F2"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 xml:space="preserve">Short oral </w:t>
            </w:r>
            <w:proofErr w:type="spellStart"/>
            <w:r w:rsidRPr="0089598A">
              <w:rPr>
                <w:rFonts w:ascii="Times New Roman" w:hAnsi="Times New Roman" w:cs="Times New Roman"/>
                <w:sz w:val="24"/>
                <w:szCs w:val="24"/>
              </w:rPr>
              <w:t>defence</w:t>
            </w:r>
            <w:proofErr w:type="spellEnd"/>
            <w:r w:rsidRPr="0089598A">
              <w:rPr>
                <w:rFonts w:ascii="Times New Roman" w:hAnsi="Times New Roman" w:cs="Times New Roman"/>
                <w:sz w:val="24"/>
                <w:szCs w:val="24"/>
              </w:rPr>
              <w:t xml:space="preserve"> of the final assignment</w:t>
            </w:r>
          </w:p>
        </w:tc>
        <w:tc>
          <w:tcPr>
            <w:tcW w:w="3120" w:type="dxa"/>
            <w:tcBorders>
              <w:top w:val="single" w:sz="4" w:space="0" w:color="auto"/>
              <w:left w:val="single" w:sz="4" w:space="0" w:color="auto"/>
              <w:bottom w:val="single" w:sz="4" w:space="0" w:color="auto"/>
              <w:right w:val="single" w:sz="4" w:space="0" w:color="auto"/>
            </w:tcBorders>
            <w:hideMark/>
          </w:tcPr>
          <w:p w14:paraId="2F081828"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10 %</w:t>
            </w:r>
          </w:p>
        </w:tc>
        <w:tc>
          <w:tcPr>
            <w:tcW w:w="3120" w:type="dxa"/>
            <w:tcBorders>
              <w:top w:val="single" w:sz="4" w:space="0" w:color="auto"/>
              <w:left w:val="single" w:sz="4" w:space="0" w:color="auto"/>
              <w:bottom w:val="single" w:sz="4" w:space="0" w:color="auto"/>
              <w:right w:val="single" w:sz="4" w:space="0" w:color="auto"/>
            </w:tcBorders>
            <w:hideMark/>
          </w:tcPr>
          <w:p w14:paraId="649376D1" w14:textId="77777777" w:rsidR="0089598A" w:rsidRPr="0089598A" w:rsidRDefault="0089598A">
            <w:pPr>
              <w:rPr>
                <w:rFonts w:ascii="Times New Roman" w:hAnsi="Times New Roman" w:cs="Times New Roman"/>
                <w:sz w:val="24"/>
                <w:szCs w:val="24"/>
              </w:rPr>
            </w:pPr>
            <w:r w:rsidRPr="0089598A">
              <w:rPr>
                <w:rFonts w:ascii="Times New Roman" w:hAnsi="Times New Roman" w:cs="Times New Roman"/>
                <w:sz w:val="24"/>
                <w:szCs w:val="24"/>
              </w:rPr>
              <w:t>Can the student explain the model and its limits?</w:t>
            </w:r>
          </w:p>
        </w:tc>
      </w:tr>
    </w:tbl>
    <w:p w14:paraId="6D5CFDBF"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Each lab report uses the same structure: question → what was set in the software (tab, field, value) → result (numbers, screenshot) → interpretation in 3–5 sentences. Weights and dates are a proposal and can be adjusted.</w:t>
      </w:r>
    </w:p>
    <w:p w14:paraId="237F7050" w14:textId="77777777" w:rsidR="0089598A" w:rsidRPr="0089598A" w:rsidRDefault="0089598A" w:rsidP="0089598A">
      <w:pPr>
        <w:pStyle w:val="Cmsor2"/>
        <w:rPr>
          <w:rFonts w:ascii="Times New Roman" w:eastAsia="Calibri" w:hAnsi="Times New Roman" w:cs="Times New Roman"/>
          <w:color w:val="auto"/>
          <w:sz w:val="36"/>
          <w:szCs w:val="36"/>
        </w:rPr>
      </w:pPr>
      <w:r w:rsidRPr="0089598A">
        <w:rPr>
          <w:rFonts w:ascii="Times New Roman" w:eastAsia="Calibri" w:hAnsi="Times New Roman" w:cs="Times New Roman"/>
          <w:color w:val="auto"/>
          <w:sz w:val="36"/>
          <w:szCs w:val="36"/>
        </w:rPr>
        <w:t>4. The VERDA reference system</w:t>
      </w:r>
    </w:p>
    <w:p w14:paraId="6B048480"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 xml:space="preserve">VERDA is a fictional cell that makes a natural face cream in 20 kg batches with three to four people per shift. The modelled hazard is a </w:t>
      </w:r>
      <w:r w:rsidRPr="0089598A">
        <w:rPr>
          <w:rFonts w:ascii="Times New Roman" w:hAnsi="Times New Roman" w:cs="Times New Roman"/>
          <w:b/>
          <w:sz w:val="24"/>
          <w:szCs w:val="24"/>
        </w:rPr>
        <w:t>microbially contaminated batch released to customers</w:t>
      </w:r>
      <w:r w:rsidRPr="0089598A">
        <w:rPr>
          <w:rFonts w:ascii="Times New Roman" w:hAnsi="Times New Roman" w:cs="Times New Roman"/>
          <w:sz w:val="24"/>
          <w:szCs w:val="24"/>
        </w:rPr>
        <w:t>. All figures are illustrative teaching values.</w:t>
      </w:r>
    </w:p>
    <w:p w14:paraId="275C21BB"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Process (one batch, about six hours):</w:t>
      </w:r>
      <w:r w:rsidRPr="0089598A">
        <w:rPr>
          <w:rFonts w:ascii="Times New Roman" w:hAnsi="Times New Roman" w:cs="Times New Roman"/>
          <w:sz w:val="24"/>
          <w:szCs w:val="24"/>
        </w:rPr>
        <w:t xml:space="preserve"> raw material weighing → water and oil phase heating to 75 °C → emulsification with a PLC-controlled </w:t>
      </w:r>
      <w:proofErr w:type="spellStart"/>
      <w:r w:rsidRPr="0089598A">
        <w:rPr>
          <w:rFonts w:ascii="Times New Roman" w:hAnsi="Times New Roman" w:cs="Times New Roman"/>
          <w:sz w:val="24"/>
          <w:szCs w:val="24"/>
        </w:rPr>
        <w:t>homogeniser</w:t>
      </w:r>
      <w:proofErr w:type="spellEnd"/>
      <w:r w:rsidRPr="0089598A">
        <w:rPr>
          <w:rFonts w:ascii="Times New Roman" w:hAnsi="Times New Roman" w:cs="Times New Roman"/>
          <w:sz w:val="24"/>
          <w:szCs w:val="24"/>
        </w:rPr>
        <w:t xml:space="preserve"> → controlled cooling below 40 °C → cool-down additions (preservative, actives) and pH adjustment to 5.0–5.5 → QC sampling and release → filling and labelling → cleaning and sanitation.</w:t>
      </w:r>
    </w:p>
    <w:p w14:paraId="1486C6E6"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People:</w:t>
      </w:r>
      <w:r w:rsidRPr="0089598A">
        <w:rPr>
          <w:rFonts w:ascii="Times New Roman" w:hAnsi="Times New Roman" w:cs="Times New Roman"/>
          <w:sz w:val="24"/>
          <w:szCs w:val="24"/>
        </w:rPr>
        <w:t xml:space="preserve"> process operator, </w:t>
      </w:r>
      <w:proofErr w:type="gramStart"/>
      <w:r w:rsidRPr="0089598A">
        <w:rPr>
          <w:rFonts w:ascii="Times New Roman" w:hAnsi="Times New Roman" w:cs="Times New Roman"/>
          <w:sz w:val="24"/>
          <w:szCs w:val="24"/>
        </w:rPr>
        <w:t>filling</w:t>
      </w:r>
      <w:proofErr w:type="gramEnd"/>
      <w:r w:rsidRPr="0089598A">
        <w:rPr>
          <w:rFonts w:ascii="Times New Roman" w:hAnsi="Times New Roman" w:cs="Times New Roman"/>
          <w:sz w:val="24"/>
          <w:szCs w:val="24"/>
        </w:rPr>
        <w:t xml:space="preserve"> operator, QC technician, shift lead. Batches often span </w:t>
      </w:r>
      <w:proofErr w:type="gramStart"/>
      <w:r w:rsidRPr="0089598A">
        <w:rPr>
          <w:rFonts w:ascii="Times New Roman" w:hAnsi="Times New Roman" w:cs="Times New Roman"/>
          <w:sz w:val="24"/>
          <w:szCs w:val="24"/>
        </w:rPr>
        <w:t>a shift</w:t>
      </w:r>
      <w:proofErr w:type="gramEnd"/>
      <w:r w:rsidRPr="0089598A">
        <w:rPr>
          <w:rFonts w:ascii="Times New Roman" w:hAnsi="Times New Roman" w:cs="Times New Roman"/>
          <w:sz w:val="24"/>
          <w:szCs w:val="24"/>
        </w:rPr>
        <w:t xml:space="preserve"> change, which makes handover a recurring weak point.</w:t>
      </w:r>
    </w:p>
    <w:p w14:paraId="11890F5E"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Digital layer:</w:t>
      </w:r>
      <w:r w:rsidRPr="0089598A">
        <w:rPr>
          <w:rFonts w:ascii="Times New Roman" w:hAnsi="Times New Roman" w:cs="Times New Roman"/>
          <w:sz w:val="24"/>
          <w:szCs w:val="24"/>
        </w:rPr>
        <w:t xml:space="preserve"> tablet-based work instructions over Wi-Fi, smartwatch alarms, AR label check, a lightweight MES with electronic batch record, an MQTT broker and cloud dashboard.</w:t>
      </w:r>
    </w:p>
    <w:p w14:paraId="521F4A43"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b/>
          <w:sz w:val="24"/>
          <w:szCs w:val="24"/>
        </w:rPr>
        <w:t>How the hazard arises:</w:t>
      </w:r>
      <w:r w:rsidRPr="0089598A">
        <w:rPr>
          <w:rFonts w:ascii="Times New Roman" w:hAnsi="Times New Roman" w:cs="Times New Roman"/>
          <w:sz w:val="24"/>
          <w:szCs w:val="24"/>
        </w:rPr>
        <w:t xml:space="preserve"> a batch is unsafe when it becomes contaminated (preservation fails, or the filling nozzle is contaminated) </w:t>
      </w:r>
      <w:r w:rsidRPr="0089598A">
        <w:rPr>
          <w:rFonts w:ascii="Times New Roman" w:hAnsi="Times New Roman" w:cs="Times New Roman"/>
          <w:b/>
          <w:sz w:val="24"/>
          <w:szCs w:val="24"/>
        </w:rPr>
        <w:t>and</w:t>
      </w:r>
      <w:r w:rsidRPr="0089598A">
        <w:rPr>
          <w:rFonts w:ascii="Times New Roman" w:hAnsi="Times New Roman" w:cs="Times New Roman"/>
          <w:sz w:val="24"/>
          <w:szCs w:val="24"/>
        </w:rPr>
        <w:t xml:space="preserve"> quality control fails to catch it. Contamination is a risk; the QC miss turns it into harm. This AND structure </w:t>
      </w:r>
      <w:proofErr w:type="gramStart"/>
      <w:r w:rsidRPr="0089598A">
        <w:rPr>
          <w:rFonts w:ascii="Times New Roman" w:hAnsi="Times New Roman" w:cs="Times New Roman"/>
          <w:sz w:val="24"/>
          <w:szCs w:val="24"/>
        </w:rPr>
        <w:t>is</w:t>
      </w:r>
      <w:proofErr w:type="gramEnd"/>
      <w:r w:rsidRPr="0089598A">
        <w:rPr>
          <w:rFonts w:ascii="Times New Roman" w:hAnsi="Times New Roman" w:cs="Times New Roman"/>
          <w:sz w:val="24"/>
          <w:szCs w:val="24"/>
        </w:rPr>
        <w:t xml:space="preserve"> the backbone of both models.</w:t>
      </w:r>
    </w:p>
    <w:p w14:paraId="1570C043" w14:textId="77777777" w:rsidR="0089598A" w:rsidRPr="0089598A" w:rsidRDefault="0089598A" w:rsidP="0089598A">
      <w:pPr>
        <w:rPr>
          <w:rFonts w:ascii="Times New Roman" w:hAnsi="Times New Roman" w:cs="Times New Roman"/>
          <w:sz w:val="24"/>
          <w:szCs w:val="24"/>
        </w:rPr>
      </w:pPr>
      <w:r w:rsidRPr="0089598A">
        <w:rPr>
          <w:rFonts w:ascii="Times New Roman" w:hAnsi="Times New Roman" w:cs="Times New Roman"/>
          <w:sz w:val="24"/>
          <w:szCs w:val="24"/>
        </w:rPr>
        <w:t>The full system description (equipment, critical parameters, roles) is handed out in the first lecture.</w:t>
      </w:r>
    </w:p>
    <w:p w14:paraId="0D65D618" w14:textId="09C2AC52" w:rsidR="001108B2" w:rsidRPr="0089598A" w:rsidRDefault="001108B2" w:rsidP="0089598A">
      <w:pPr>
        <w:rPr>
          <w:rFonts w:ascii="Times New Roman" w:hAnsi="Times New Roman" w:cs="Times New Roman"/>
          <w:sz w:val="24"/>
          <w:szCs w:val="24"/>
        </w:rPr>
      </w:pPr>
    </w:p>
    <w:sectPr w:rsidR="001108B2" w:rsidRPr="0089598A" w:rsidSect="000C02C7">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195"/>
    <w:multiLevelType w:val="hybridMultilevel"/>
    <w:tmpl w:val="30CAFCFA"/>
    <w:lvl w:ilvl="0" w:tplc="A1141382">
      <w:start w:val="1"/>
      <w:numFmt w:val="bullet"/>
      <w:lvlText w:val="•"/>
      <w:lvlJc w:val="left"/>
      <w:pPr>
        <w:ind w:left="720" w:hanging="360"/>
      </w:pPr>
    </w:lvl>
    <w:lvl w:ilvl="1" w:tplc="C518D906">
      <w:start w:val="1"/>
      <w:numFmt w:val="bullet"/>
      <w:lvlText w:val="o"/>
      <w:lvlJc w:val="left"/>
      <w:pPr>
        <w:ind w:left="1440" w:hanging="360"/>
      </w:pPr>
    </w:lvl>
    <w:lvl w:ilvl="2" w:tplc="68D0565A">
      <w:start w:val="1"/>
      <w:numFmt w:val="bullet"/>
      <w:lvlText w:val="▪"/>
      <w:lvlJc w:val="left"/>
      <w:pPr>
        <w:ind w:left="2160" w:hanging="360"/>
      </w:pPr>
    </w:lvl>
    <w:lvl w:ilvl="3" w:tplc="51025020">
      <w:start w:val="1"/>
      <w:numFmt w:val="bullet"/>
      <w:lvlText w:val="•"/>
      <w:lvlJc w:val="left"/>
      <w:pPr>
        <w:ind w:left="2880" w:hanging="360"/>
      </w:pPr>
    </w:lvl>
    <w:lvl w:ilvl="4" w:tplc="59C8B398">
      <w:start w:val="1"/>
      <w:numFmt w:val="bullet"/>
      <w:lvlText w:val="o"/>
      <w:lvlJc w:val="left"/>
      <w:pPr>
        <w:ind w:left="3600" w:hanging="360"/>
      </w:pPr>
    </w:lvl>
    <w:lvl w:ilvl="5" w:tplc="7BC229F4">
      <w:start w:val="1"/>
      <w:numFmt w:val="bullet"/>
      <w:lvlText w:val="▪"/>
      <w:lvlJc w:val="left"/>
      <w:pPr>
        <w:ind w:left="4320" w:hanging="360"/>
      </w:pPr>
    </w:lvl>
    <w:lvl w:ilvl="6" w:tplc="FF389EA6">
      <w:start w:val="1"/>
      <w:numFmt w:val="bullet"/>
      <w:lvlText w:val="•"/>
      <w:lvlJc w:val="left"/>
      <w:pPr>
        <w:ind w:left="5040" w:hanging="360"/>
      </w:pPr>
    </w:lvl>
    <w:lvl w:ilvl="7" w:tplc="F2A2E336">
      <w:start w:val="1"/>
      <w:numFmt w:val="bullet"/>
      <w:lvlText w:val="o"/>
      <w:lvlJc w:val="left"/>
      <w:pPr>
        <w:ind w:left="5760" w:hanging="360"/>
      </w:pPr>
    </w:lvl>
    <w:lvl w:ilvl="8" w:tplc="2AC8BC78">
      <w:start w:val="1"/>
      <w:numFmt w:val="bullet"/>
      <w:lvlText w:val="▪"/>
      <w:lvlJc w:val="left"/>
      <w:pPr>
        <w:ind w:left="6480" w:hanging="360"/>
      </w:pPr>
    </w:lvl>
  </w:abstractNum>
  <w:abstractNum w:abstractNumId="1" w15:restartNumberingAfterBreak="0">
    <w:nsid w:val="133B79A1"/>
    <w:multiLevelType w:val="hybridMultilevel"/>
    <w:tmpl w:val="80EE8DD4"/>
    <w:lvl w:ilvl="0" w:tplc="8CB0A802">
      <w:start w:val="1"/>
      <w:numFmt w:val="bullet"/>
      <w:lvlText w:val="•"/>
      <w:lvlJc w:val="left"/>
      <w:pPr>
        <w:ind w:left="720" w:hanging="360"/>
      </w:pPr>
    </w:lvl>
    <w:lvl w:ilvl="1" w:tplc="D102C4DC">
      <w:start w:val="1"/>
      <w:numFmt w:val="bullet"/>
      <w:lvlText w:val="o"/>
      <w:lvlJc w:val="left"/>
      <w:pPr>
        <w:ind w:left="1440" w:hanging="360"/>
      </w:pPr>
    </w:lvl>
    <w:lvl w:ilvl="2" w:tplc="AB987A46">
      <w:start w:val="1"/>
      <w:numFmt w:val="bullet"/>
      <w:lvlText w:val="▪"/>
      <w:lvlJc w:val="left"/>
      <w:pPr>
        <w:ind w:left="2160" w:hanging="360"/>
      </w:pPr>
    </w:lvl>
    <w:lvl w:ilvl="3" w:tplc="72F483B8">
      <w:start w:val="1"/>
      <w:numFmt w:val="bullet"/>
      <w:lvlText w:val="•"/>
      <w:lvlJc w:val="left"/>
      <w:pPr>
        <w:ind w:left="2880" w:hanging="360"/>
      </w:pPr>
    </w:lvl>
    <w:lvl w:ilvl="4" w:tplc="9FAE500A">
      <w:start w:val="1"/>
      <w:numFmt w:val="bullet"/>
      <w:lvlText w:val="o"/>
      <w:lvlJc w:val="left"/>
      <w:pPr>
        <w:ind w:left="3600" w:hanging="360"/>
      </w:pPr>
    </w:lvl>
    <w:lvl w:ilvl="5" w:tplc="EF809904">
      <w:start w:val="1"/>
      <w:numFmt w:val="bullet"/>
      <w:lvlText w:val="▪"/>
      <w:lvlJc w:val="left"/>
      <w:pPr>
        <w:ind w:left="4320" w:hanging="360"/>
      </w:pPr>
    </w:lvl>
    <w:lvl w:ilvl="6" w:tplc="BAE451B2">
      <w:start w:val="1"/>
      <w:numFmt w:val="bullet"/>
      <w:lvlText w:val="•"/>
      <w:lvlJc w:val="left"/>
      <w:pPr>
        <w:ind w:left="5040" w:hanging="360"/>
      </w:pPr>
    </w:lvl>
    <w:lvl w:ilvl="7" w:tplc="9D00730E">
      <w:start w:val="1"/>
      <w:numFmt w:val="bullet"/>
      <w:lvlText w:val="o"/>
      <w:lvlJc w:val="left"/>
      <w:pPr>
        <w:ind w:left="5760" w:hanging="360"/>
      </w:pPr>
    </w:lvl>
    <w:lvl w:ilvl="8" w:tplc="3CE219A0">
      <w:start w:val="1"/>
      <w:numFmt w:val="bullet"/>
      <w:lvlText w:val="▪"/>
      <w:lvlJc w:val="left"/>
      <w:pPr>
        <w:ind w:left="6480" w:hanging="360"/>
      </w:pPr>
    </w:lvl>
  </w:abstractNum>
  <w:abstractNum w:abstractNumId="2" w15:restartNumberingAfterBreak="0">
    <w:nsid w:val="19982073"/>
    <w:multiLevelType w:val="multilevel"/>
    <w:tmpl w:val="2E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97C27"/>
    <w:multiLevelType w:val="hybridMultilevel"/>
    <w:tmpl w:val="7F2088F6"/>
    <w:lvl w:ilvl="0" w:tplc="C936A6A6">
      <w:start w:val="1"/>
      <w:numFmt w:val="decimal"/>
      <w:lvlText w:val="%1."/>
      <w:lvlJc w:val="left"/>
      <w:pPr>
        <w:ind w:left="720" w:hanging="360"/>
      </w:pPr>
    </w:lvl>
    <w:lvl w:ilvl="1" w:tplc="9BAA7216">
      <w:start w:val="1"/>
      <w:numFmt w:val="lowerLetter"/>
      <w:lvlText w:val="%2."/>
      <w:lvlJc w:val="left"/>
      <w:pPr>
        <w:ind w:left="1440" w:hanging="360"/>
      </w:pPr>
    </w:lvl>
    <w:lvl w:ilvl="2" w:tplc="46AE0D3E">
      <w:start w:val="1"/>
      <w:numFmt w:val="lowerRoman"/>
      <w:lvlText w:val="%3."/>
      <w:lvlJc w:val="left"/>
      <w:pPr>
        <w:ind w:left="2160" w:hanging="360"/>
      </w:pPr>
    </w:lvl>
    <w:lvl w:ilvl="3" w:tplc="6AA6FB2C">
      <w:start w:val="1"/>
      <w:numFmt w:val="decimal"/>
      <w:lvlText w:val="%4."/>
      <w:lvlJc w:val="left"/>
      <w:pPr>
        <w:ind w:left="2880" w:hanging="360"/>
      </w:pPr>
    </w:lvl>
    <w:lvl w:ilvl="4" w:tplc="68225D2E">
      <w:start w:val="1"/>
      <w:numFmt w:val="lowerLetter"/>
      <w:lvlText w:val="%5."/>
      <w:lvlJc w:val="left"/>
      <w:pPr>
        <w:ind w:left="3600" w:hanging="360"/>
      </w:pPr>
    </w:lvl>
    <w:lvl w:ilvl="5" w:tplc="21E0DA0A">
      <w:start w:val="1"/>
      <w:numFmt w:val="lowerRoman"/>
      <w:lvlText w:val="%6."/>
      <w:lvlJc w:val="left"/>
      <w:pPr>
        <w:ind w:left="4320" w:hanging="360"/>
      </w:pPr>
    </w:lvl>
    <w:lvl w:ilvl="6" w:tplc="304E7B82">
      <w:start w:val="1"/>
      <w:numFmt w:val="decimal"/>
      <w:lvlText w:val="%7."/>
      <w:lvlJc w:val="left"/>
      <w:pPr>
        <w:ind w:left="5040" w:hanging="360"/>
      </w:pPr>
    </w:lvl>
    <w:lvl w:ilvl="7" w:tplc="A418C1FE">
      <w:start w:val="1"/>
      <w:numFmt w:val="lowerLetter"/>
      <w:lvlText w:val="%8."/>
      <w:lvlJc w:val="left"/>
      <w:pPr>
        <w:ind w:left="5760" w:hanging="360"/>
      </w:pPr>
    </w:lvl>
    <w:lvl w:ilvl="8" w:tplc="A1C8EF92">
      <w:start w:val="1"/>
      <w:numFmt w:val="lowerRoman"/>
      <w:lvlText w:val="%9."/>
      <w:lvlJc w:val="left"/>
      <w:pPr>
        <w:ind w:left="6480" w:hanging="360"/>
      </w:pPr>
    </w:lvl>
  </w:abstractNum>
  <w:abstractNum w:abstractNumId="4" w15:restartNumberingAfterBreak="0">
    <w:nsid w:val="1E4C77C1"/>
    <w:multiLevelType w:val="multilevel"/>
    <w:tmpl w:val="0F7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98601F"/>
    <w:multiLevelType w:val="multilevel"/>
    <w:tmpl w:val="951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D69B3"/>
    <w:multiLevelType w:val="hybridMultilevel"/>
    <w:tmpl w:val="82E03832"/>
    <w:lvl w:ilvl="0" w:tplc="2A88F158">
      <w:start w:val="1"/>
      <w:numFmt w:val="decimal"/>
      <w:lvlText w:val="%1."/>
      <w:lvlJc w:val="left"/>
      <w:pPr>
        <w:ind w:left="720" w:hanging="360"/>
      </w:pPr>
    </w:lvl>
    <w:lvl w:ilvl="1" w:tplc="61FA3EC8">
      <w:start w:val="1"/>
      <w:numFmt w:val="lowerLetter"/>
      <w:lvlText w:val="%2."/>
      <w:lvlJc w:val="left"/>
      <w:pPr>
        <w:ind w:left="1440" w:hanging="360"/>
      </w:pPr>
    </w:lvl>
    <w:lvl w:ilvl="2" w:tplc="092402F8">
      <w:start w:val="1"/>
      <w:numFmt w:val="lowerRoman"/>
      <w:lvlText w:val="%3."/>
      <w:lvlJc w:val="left"/>
      <w:pPr>
        <w:ind w:left="2160" w:hanging="360"/>
      </w:pPr>
    </w:lvl>
    <w:lvl w:ilvl="3" w:tplc="3F007372">
      <w:start w:val="1"/>
      <w:numFmt w:val="decimal"/>
      <w:lvlText w:val="%4."/>
      <w:lvlJc w:val="left"/>
      <w:pPr>
        <w:ind w:left="2880" w:hanging="360"/>
      </w:pPr>
    </w:lvl>
    <w:lvl w:ilvl="4" w:tplc="7598CC7E">
      <w:start w:val="1"/>
      <w:numFmt w:val="lowerLetter"/>
      <w:lvlText w:val="%5."/>
      <w:lvlJc w:val="left"/>
      <w:pPr>
        <w:ind w:left="3600" w:hanging="360"/>
      </w:pPr>
    </w:lvl>
    <w:lvl w:ilvl="5" w:tplc="B7BEAD7A">
      <w:start w:val="1"/>
      <w:numFmt w:val="lowerRoman"/>
      <w:lvlText w:val="%6."/>
      <w:lvlJc w:val="left"/>
      <w:pPr>
        <w:ind w:left="4320" w:hanging="360"/>
      </w:pPr>
    </w:lvl>
    <w:lvl w:ilvl="6" w:tplc="AA82A9C2">
      <w:start w:val="1"/>
      <w:numFmt w:val="decimal"/>
      <w:lvlText w:val="%7."/>
      <w:lvlJc w:val="left"/>
      <w:pPr>
        <w:ind w:left="5040" w:hanging="360"/>
      </w:pPr>
    </w:lvl>
    <w:lvl w:ilvl="7" w:tplc="E19A6B66">
      <w:start w:val="1"/>
      <w:numFmt w:val="lowerLetter"/>
      <w:lvlText w:val="%8."/>
      <w:lvlJc w:val="left"/>
      <w:pPr>
        <w:ind w:left="5760" w:hanging="360"/>
      </w:pPr>
    </w:lvl>
    <w:lvl w:ilvl="8" w:tplc="A73AED0E">
      <w:start w:val="1"/>
      <w:numFmt w:val="lowerRoman"/>
      <w:lvlText w:val="%9."/>
      <w:lvlJc w:val="left"/>
      <w:pPr>
        <w:ind w:left="6480" w:hanging="360"/>
      </w:pPr>
    </w:lvl>
  </w:abstractNum>
  <w:abstractNum w:abstractNumId="7" w15:restartNumberingAfterBreak="0">
    <w:nsid w:val="5CD653DD"/>
    <w:multiLevelType w:val="multilevel"/>
    <w:tmpl w:val="331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479FD"/>
    <w:multiLevelType w:val="multilevel"/>
    <w:tmpl w:val="42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3346">
    <w:abstractNumId w:val="2"/>
  </w:num>
  <w:num w:numId="2" w16cid:durableId="1870341137">
    <w:abstractNumId w:val="8"/>
  </w:num>
  <w:num w:numId="3" w16cid:durableId="1176916255">
    <w:abstractNumId w:val="7"/>
  </w:num>
  <w:num w:numId="4" w16cid:durableId="993528135">
    <w:abstractNumId w:val="5"/>
  </w:num>
  <w:num w:numId="5" w16cid:durableId="192810168">
    <w:abstractNumId w:val="4"/>
  </w:num>
  <w:num w:numId="6" w16cid:durableId="12398252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60985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32300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2416401">
    <w:abstractNumId w:val="0"/>
  </w:num>
  <w:num w:numId="10" w16cid:durableId="539053977">
    <w:abstractNumId w:val="1"/>
  </w:num>
  <w:num w:numId="11" w16cid:durableId="690401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C"/>
    <w:rsid w:val="000061E9"/>
    <w:rsid w:val="00061E9A"/>
    <w:rsid w:val="000714F9"/>
    <w:rsid w:val="000C02C7"/>
    <w:rsid w:val="001108B2"/>
    <w:rsid w:val="001E7345"/>
    <w:rsid w:val="00227417"/>
    <w:rsid w:val="00440D9D"/>
    <w:rsid w:val="00557F6C"/>
    <w:rsid w:val="00626ED8"/>
    <w:rsid w:val="006468B1"/>
    <w:rsid w:val="0065572D"/>
    <w:rsid w:val="00694430"/>
    <w:rsid w:val="007F4FEC"/>
    <w:rsid w:val="0089598A"/>
    <w:rsid w:val="00AA68A1"/>
    <w:rsid w:val="00B25D69"/>
    <w:rsid w:val="00BF2C21"/>
    <w:rsid w:val="00C434B0"/>
    <w:rsid w:val="00C906A9"/>
    <w:rsid w:val="00D83C37"/>
    <w:rsid w:val="00E95CFA"/>
    <w:rsid w:val="00F910D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2060"/>
  <w15:chartTrackingRefBased/>
  <w15:docId w15:val="{F075E0F9-586C-468D-89A6-B794D793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10D2"/>
    <w:pPr>
      <w:spacing w:line="256" w:lineRule="auto"/>
    </w:pPr>
    <w:rPr>
      <w:rFonts w:ascii="Calibri" w:eastAsia="Calibri" w:hAnsi="Calibri" w:cs="Calibri"/>
      <w:kern w:val="0"/>
      <w:sz w:val="22"/>
      <w:szCs w:val="22"/>
      <w:lang w:eastAsia="hu-HU"/>
      <w14:ligatures w14:val="none"/>
    </w:rPr>
  </w:style>
  <w:style w:type="paragraph" w:styleId="Cmsor1">
    <w:name w:val="heading 1"/>
    <w:basedOn w:val="Norml"/>
    <w:next w:val="Norml"/>
    <w:link w:val="Cmsor1Char"/>
    <w:uiPriority w:val="9"/>
    <w:qFormat/>
    <w:rsid w:val="007F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F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F4FE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F4FE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F4FE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F4FE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F4FE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F4FE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F4FE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F4FEC"/>
    <w:rPr>
      <w:rFonts w:asciiTheme="majorHAnsi" w:eastAsiaTheme="majorEastAsia" w:hAnsiTheme="majorHAnsi" w:cstheme="majorBidi"/>
      <w:color w:val="0F4761" w:themeColor="accent1" w:themeShade="BF"/>
      <w:sz w:val="40"/>
      <w:szCs w:val="40"/>
      <w:lang w:val="hu-HU"/>
    </w:rPr>
  </w:style>
  <w:style w:type="character" w:customStyle="1" w:styleId="Cmsor2Char">
    <w:name w:val="Címsor 2 Char"/>
    <w:basedOn w:val="Bekezdsalapbettpusa"/>
    <w:link w:val="Cmsor2"/>
    <w:uiPriority w:val="9"/>
    <w:semiHidden/>
    <w:rsid w:val="007F4FEC"/>
    <w:rPr>
      <w:rFonts w:asciiTheme="majorHAnsi" w:eastAsiaTheme="majorEastAsia" w:hAnsiTheme="majorHAnsi" w:cstheme="majorBidi"/>
      <w:color w:val="0F4761" w:themeColor="accent1" w:themeShade="BF"/>
      <w:sz w:val="32"/>
      <w:szCs w:val="32"/>
      <w:lang w:val="hu-HU"/>
    </w:rPr>
  </w:style>
  <w:style w:type="character" w:customStyle="1" w:styleId="Cmsor3Char">
    <w:name w:val="Címsor 3 Char"/>
    <w:basedOn w:val="Bekezdsalapbettpusa"/>
    <w:link w:val="Cmsor3"/>
    <w:uiPriority w:val="9"/>
    <w:semiHidden/>
    <w:rsid w:val="007F4FEC"/>
    <w:rPr>
      <w:rFonts w:eastAsiaTheme="majorEastAsia" w:cstheme="majorBidi"/>
      <w:color w:val="0F4761" w:themeColor="accent1" w:themeShade="BF"/>
      <w:sz w:val="28"/>
      <w:szCs w:val="28"/>
      <w:lang w:val="hu-HU"/>
    </w:rPr>
  </w:style>
  <w:style w:type="character" w:customStyle="1" w:styleId="Cmsor4Char">
    <w:name w:val="Címsor 4 Char"/>
    <w:basedOn w:val="Bekezdsalapbettpusa"/>
    <w:link w:val="Cmsor4"/>
    <w:uiPriority w:val="9"/>
    <w:semiHidden/>
    <w:rsid w:val="007F4FEC"/>
    <w:rPr>
      <w:rFonts w:eastAsiaTheme="majorEastAsia" w:cstheme="majorBidi"/>
      <w:i/>
      <w:iCs/>
      <w:color w:val="0F4761" w:themeColor="accent1" w:themeShade="BF"/>
      <w:lang w:val="hu-HU"/>
    </w:rPr>
  </w:style>
  <w:style w:type="character" w:customStyle="1" w:styleId="Cmsor5Char">
    <w:name w:val="Címsor 5 Char"/>
    <w:basedOn w:val="Bekezdsalapbettpusa"/>
    <w:link w:val="Cmsor5"/>
    <w:uiPriority w:val="9"/>
    <w:semiHidden/>
    <w:rsid w:val="007F4FEC"/>
    <w:rPr>
      <w:rFonts w:eastAsiaTheme="majorEastAsia" w:cstheme="majorBidi"/>
      <w:color w:val="0F4761" w:themeColor="accent1" w:themeShade="BF"/>
      <w:lang w:val="hu-HU"/>
    </w:rPr>
  </w:style>
  <w:style w:type="character" w:customStyle="1" w:styleId="Cmsor6Char">
    <w:name w:val="Címsor 6 Char"/>
    <w:basedOn w:val="Bekezdsalapbettpusa"/>
    <w:link w:val="Cmsor6"/>
    <w:uiPriority w:val="9"/>
    <w:semiHidden/>
    <w:rsid w:val="007F4FEC"/>
    <w:rPr>
      <w:rFonts w:eastAsiaTheme="majorEastAsia" w:cstheme="majorBidi"/>
      <w:i/>
      <w:iCs/>
      <w:color w:val="595959" w:themeColor="text1" w:themeTint="A6"/>
      <w:lang w:val="hu-HU"/>
    </w:rPr>
  </w:style>
  <w:style w:type="character" w:customStyle="1" w:styleId="Cmsor7Char">
    <w:name w:val="Címsor 7 Char"/>
    <w:basedOn w:val="Bekezdsalapbettpusa"/>
    <w:link w:val="Cmsor7"/>
    <w:uiPriority w:val="9"/>
    <w:semiHidden/>
    <w:rsid w:val="007F4FEC"/>
    <w:rPr>
      <w:rFonts w:eastAsiaTheme="majorEastAsia" w:cstheme="majorBidi"/>
      <w:color w:val="595959" w:themeColor="text1" w:themeTint="A6"/>
      <w:lang w:val="hu-HU"/>
    </w:rPr>
  </w:style>
  <w:style w:type="character" w:customStyle="1" w:styleId="Cmsor8Char">
    <w:name w:val="Címsor 8 Char"/>
    <w:basedOn w:val="Bekezdsalapbettpusa"/>
    <w:link w:val="Cmsor8"/>
    <w:uiPriority w:val="9"/>
    <w:semiHidden/>
    <w:rsid w:val="007F4FEC"/>
    <w:rPr>
      <w:rFonts w:eastAsiaTheme="majorEastAsia" w:cstheme="majorBidi"/>
      <w:i/>
      <w:iCs/>
      <w:color w:val="272727" w:themeColor="text1" w:themeTint="D8"/>
      <w:lang w:val="hu-HU"/>
    </w:rPr>
  </w:style>
  <w:style w:type="character" w:customStyle="1" w:styleId="Cmsor9Char">
    <w:name w:val="Címsor 9 Char"/>
    <w:basedOn w:val="Bekezdsalapbettpusa"/>
    <w:link w:val="Cmsor9"/>
    <w:uiPriority w:val="9"/>
    <w:semiHidden/>
    <w:rsid w:val="007F4FEC"/>
    <w:rPr>
      <w:rFonts w:eastAsiaTheme="majorEastAsia" w:cstheme="majorBidi"/>
      <w:color w:val="272727" w:themeColor="text1" w:themeTint="D8"/>
      <w:lang w:val="hu-HU"/>
    </w:rPr>
  </w:style>
  <w:style w:type="paragraph" w:styleId="Cm">
    <w:name w:val="Title"/>
    <w:basedOn w:val="Norml"/>
    <w:next w:val="Norml"/>
    <w:link w:val="CmChar"/>
    <w:uiPriority w:val="10"/>
    <w:qFormat/>
    <w:rsid w:val="007F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F4FEC"/>
    <w:rPr>
      <w:rFonts w:asciiTheme="majorHAnsi" w:eastAsiaTheme="majorEastAsia" w:hAnsiTheme="majorHAnsi" w:cstheme="majorBidi"/>
      <w:spacing w:val="-10"/>
      <w:kern w:val="28"/>
      <w:sz w:val="56"/>
      <w:szCs w:val="56"/>
      <w:lang w:val="hu-HU"/>
    </w:rPr>
  </w:style>
  <w:style w:type="paragraph" w:styleId="Alcm">
    <w:name w:val="Subtitle"/>
    <w:basedOn w:val="Norml"/>
    <w:next w:val="Norml"/>
    <w:link w:val="AlcmChar"/>
    <w:uiPriority w:val="11"/>
    <w:qFormat/>
    <w:rsid w:val="007F4FE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F4FEC"/>
    <w:rPr>
      <w:rFonts w:eastAsiaTheme="majorEastAsia" w:cstheme="majorBidi"/>
      <w:color w:val="595959" w:themeColor="text1" w:themeTint="A6"/>
      <w:spacing w:val="15"/>
      <w:sz w:val="28"/>
      <w:szCs w:val="28"/>
      <w:lang w:val="hu-HU"/>
    </w:rPr>
  </w:style>
  <w:style w:type="paragraph" w:styleId="Idzet">
    <w:name w:val="Quote"/>
    <w:basedOn w:val="Norml"/>
    <w:next w:val="Norml"/>
    <w:link w:val="IdzetChar"/>
    <w:uiPriority w:val="29"/>
    <w:qFormat/>
    <w:rsid w:val="007F4FEC"/>
    <w:pPr>
      <w:spacing w:before="160"/>
      <w:jc w:val="center"/>
    </w:pPr>
    <w:rPr>
      <w:i/>
      <w:iCs/>
      <w:color w:val="404040" w:themeColor="text1" w:themeTint="BF"/>
    </w:rPr>
  </w:style>
  <w:style w:type="character" w:customStyle="1" w:styleId="IdzetChar">
    <w:name w:val="Idézet Char"/>
    <w:basedOn w:val="Bekezdsalapbettpusa"/>
    <w:link w:val="Idzet"/>
    <w:uiPriority w:val="29"/>
    <w:rsid w:val="007F4FEC"/>
    <w:rPr>
      <w:i/>
      <w:iCs/>
      <w:color w:val="404040" w:themeColor="text1" w:themeTint="BF"/>
      <w:lang w:val="hu-HU"/>
    </w:rPr>
  </w:style>
  <w:style w:type="paragraph" w:styleId="Listaszerbekezds">
    <w:name w:val="List Paragraph"/>
    <w:basedOn w:val="Norml"/>
    <w:qFormat/>
    <w:rsid w:val="007F4FEC"/>
    <w:pPr>
      <w:ind w:left="720"/>
      <w:contextualSpacing/>
    </w:pPr>
  </w:style>
  <w:style w:type="character" w:styleId="Erskiemels">
    <w:name w:val="Intense Emphasis"/>
    <w:basedOn w:val="Bekezdsalapbettpusa"/>
    <w:uiPriority w:val="21"/>
    <w:qFormat/>
    <w:rsid w:val="007F4FEC"/>
    <w:rPr>
      <w:i/>
      <w:iCs/>
      <w:color w:val="0F4761" w:themeColor="accent1" w:themeShade="BF"/>
    </w:rPr>
  </w:style>
  <w:style w:type="paragraph" w:styleId="Kiemeltidzet">
    <w:name w:val="Intense Quote"/>
    <w:basedOn w:val="Norml"/>
    <w:next w:val="Norml"/>
    <w:link w:val="KiemeltidzetChar"/>
    <w:uiPriority w:val="30"/>
    <w:qFormat/>
    <w:rsid w:val="007F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F4FEC"/>
    <w:rPr>
      <w:i/>
      <w:iCs/>
      <w:color w:val="0F4761" w:themeColor="accent1" w:themeShade="BF"/>
      <w:lang w:val="hu-HU"/>
    </w:rPr>
  </w:style>
  <w:style w:type="character" w:styleId="Ershivatkozs">
    <w:name w:val="Intense Reference"/>
    <w:basedOn w:val="Bekezdsalapbettpusa"/>
    <w:uiPriority w:val="32"/>
    <w:qFormat/>
    <w:rsid w:val="007F4FEC"/>
    <w:rPr>
      <w:b/>
      <w:bCs/>
      <w:smallCaps/>
      <w:color w:val="0F4761" w:themeColor="accent1" w:themeShade="BF"/>
      <w:spacing w:val="5"/>
    </w:rPr>
  </w:style>
  <w:style w:type="table" w:styleId="Rcsostblzat">
    <w:name w:val="Table Grid"/>
    <w:basedOn w:val="Normltblzat"/>
    <w:rsid w:val="00F910D2"/>
    <w:pPr>
      <w:spacing w:line="256" w:lineRule="auto"/>
    </w:pPr>
    <w:rPr>
      <w:rFonts w:ascii="Calibri" w:eastAsia="Calibri" w:hAnsi="Calibri" w:cs="Calibri"/>
      <w:kern w:val="0"/>
      <w:sz w:val="22"/>
      <w:szCs w:val="22"/>
      <w:lang w:eastAsia="hu-H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l"/>
    <w:link w:val="CodeChar"/>
    <w:rsid w:val="000C02C7"/>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0C02C7"/>
    <w:rPr>
      <w:rFonts w:ascii="Consolas" w:eastAsia="Consolas" w:hAnsi="Consolas" w:cs="Consolas"/>
      <w:kern w:val="0"/>
      <w:sz w:val="20"/>
      <w:szCs w:val="22"/>
      <w:shd w:val="clear" w:color="auto" w:fill="F5F5F5"/>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643</Words>
  <Characters>4441</Characters>
  <Application>Microsoft Office Word</Application>
  <DocSecurity>0</DocSecurity>
  <Lines>37</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Szeles József</dc:creator>
  <cp:keywords/>
  <dc:description/>
  <cp:lastModifiedBy>Szeles József</cp:lastModifiedBy>
  <cp:revision>7</cp:revision>
  <cp:lastPrinted>2026-10-02T09:58:00Z</cp:lastPrinted>
  <dcterms:created xsi:type="dcterms:W3CDTF">2026-10-02T09:57:00Z</dcterms:created>
  <dcterms:modified xsi:type="dcterms:W3CDTF">2026-10-09T12:56:00Z</dcterms:modified>
</cp:coreProperties>
</file>