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복리후생 안내</w:t>
      </w:r>
    </w:p>
    <w:p>
      <w:pPr>
        <w:spacing w:after="1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(주)한빛파트너스 (가상) 사내 규정 · 교육 실습용 샘플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2CC" w:sz="1"/>
              <w:left w:val="single" w:color="BF8F00" w:sz="24"/>
              <w:bottom w:val="single" w:color="FFF2CC" w:sz="1"/>
              <w:right w:val="single" w:color="FFF2CC" w:sz="1"/>
            </w:tcBorders>
            <w:shd w:fill="FFF2C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교육 실습용 가상 샘플입니다.</w:t>
            </w:r>
            <w:r>
              <w:t xml:space="preserve"> 본 문서는 Microsoft 365 Copilot 에이전트 실습을 위해 만든 예시이며, 실제 회사 규정이 아닙니다. (주)한빛파트너스 및 등장하는 부서·연락처·수치는 모두 가상입니다.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문서번호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HR-002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버전 / 시행일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v1.0 / 2026-01-01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담당 부서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인사팀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문의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hr@hanbit.example · 내선 1100</w:t>
            </w:r>
          </w:p>
        </w:tc>
      </w:tr>
    </w:tbl>
    <w:p>
      <w:pPr>
        <w:pStyle w:val="Heading1"/>
      </w:pPr>
      <w:r>
        <w:t xml:space="preserve">1. 개요</w:t>
      </w:r>
    </w:p>
    <w:p>
      <w:pPr>
        <w:spacing w:after="100"/>
      </w:pPr>
      <w:r>
        <w:t xml:space="preserve">본 안내는 임직원에게 제공되는 주요 복리후생 제도를 설명한다. 세부 신청 방법은 사내 포털을 참고한다.</w:t>
      </w:r>
    </w:p>
    <w:p>
      <w:pPr>
        <w:pStyle w:val="Heading1"/>
      </w:pPr>
      <w:r>
        <w:t xml:space="preserve">2. 주요 복리후생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제도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건강검진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연 1회 종합건강검진 지원(본인). 만 40세 이상 배우자 격년 지원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경조사 지원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결혼·출산·사망 등 경조금 및 화환 지원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자기계발비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연 50만원 한도 도서·강의·자격증 응시료 지원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단체보험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단체상해보험 및 실손의료보험 가입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명절·복지포인트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연 100만원 상당 복지포인트 지급</w:t>
            </w:r>
          </w:p>
        </w:tc>
      </w:tr>
    </w:tbl>
    <w:p>
      <w:pPr>
        <w:pStyle w:val="Heading1"/>
      </w:pPr>
      <w:r>
        <w:t xml:space="preserve">3. 신청 방법</w:t>
      </w:r>
    </w:p>
    <w:p>
      <w:pPr>
        <w:spacing w:after="100"/>
      </w:pPr>
      <w:r>
        <w:t xml:space="preserve">복리후생 항목은 사내 포털 </w:t>
      </w:r>
      <w:r>
        <w:rPr>
          <w:b/>
          <w:bCs/>
        </w:rPr>
        <w:t xml:space="preserve">‘복리후생 신청’</w:t>
      </w:r>
      <w:r>
        <w:t xml:space="preserve"> 메뉴에서 증빙과 함께 신청하며, 인사팀이 검토 후 처리한다.</w:t>
      </w:r>
    </w:p>
    <w:p>
      <w:pPr>
        <w:pStyle w:val="Heading1"/>
      </w:pPr>
      <w:r>
        <w:t xml:space="preserve">문의처</w:t>
      </w:r>
    </w:p>
    <w:p>
      <w:pPr>
        <w:spacing w:after="100"/>
      </w:pPr>
      <w:r>
        <w:t xml:space="preserve">본 규정에 관한 추가 문의는 </w:t>
      </w:r>
      <w:r>
        <w:rPr>
          <w:b/>
          <w:bCs/>
        </w:rPr>
        <w:t xml:space="preserve">인사팀</w:t>
      </w:r>
      <w:r>
        <w:t xml:space="preserve"> (hr@hanbit.example · 내선 1100)로 연락하시기 바랍니다. 규정에 명시되지 않은 사항은 담당 부서의 안내를 따릅니다.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04 복리후생 안내</w:t>
    </w:r>
    <w:r>
      <w:rPr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(주)한빛파트너스 (가상) · 교육 실습용 샘플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6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2026-05-22T07:00:36.713Z</dcterms:created>
  <dcterms:modified xsi:type="dcterms:W3CDTF">2026-05-22T07:00:36.713Z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