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sz w:val="28"/>
          <w:szCs w:val="28"/>
        </w:rPr>
        <w:t xml:space="preserve">MUTUAL NON-DISCLOSURE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Date</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                    ]</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Party A</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TURTLE ADVISORS PTE. LTD. (UEN: 202510946M)
137 Telok Ayer Street, #08-01, Singapore 068602</w:t>
            </w:r>
          </w:p>
        </w:tc>
      </w:tr>
      <w:tr>
        <w:tc>
          <w:tcPr>
            <w:tcW w:type="dxa" w:w="2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bCs/>
                <w:sz w:val="22"/>
                <w:szCs w:val="22"/>
              </w:rPr>
              <w:t xml:space="preserve">Party B</w:t>
            </w:r>
          </w:p>
        </w:tc>
        <w:tc>
          <w:tcPr>
            <w:tcW w:type="dxa" w:w="7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2"/>
                <w:szCs w:val="22"/>
              </w:rPr>
              <w:t xml:space="preserve">CHERN CHET YONG
[Address: _________________________]</w:t>
            </w:r>
          </w:p>
        </w:tc>
      </w:tr>
    </w:tbl>
    <w:p>
      <w:pPr>
        <w:spacing w:after="200" w:before="300"/>
      </w:pPr>
    </w:p>
    <w:p>
      <w:pPr>
        <w:spacing w:after="200" w:line="276"/>
      </w:pPr>
      <w:r>
        <w:rPr>
          <w:rFonts w:ascii="Arial" w:cs="Arial" w:eastAsia="Arial" w:hAnsi="Arial"/>
          <w:sz w:val="22"/>
          <w:szCs w:val="22"/>
        </w:rPr>
        <w:t xml:space="preserve">Party A and Party B (each a </w:t>
      </w:r>
      <w:r>
        <w:rPr>
          <w:rFonts w:ascii="Arial" w:cs="Arial" w:eastAsia="Arial" w:hAnsi="Arial"/>
          <w:b/>
          <w:bCs/>
          <w:sz w:val="22"/>
          <w:szCs w:val="22"/>
        </w:rPr>
        <w:t xml:space="preserve">“Party”</w:t>
      </w:r>
      <w:r>
        <w:rPr>
          <w:rFonts w:ascii="Arial" w:cs="Arial" w:eastAsia="Arial" w:hAnsi="Arial"/>
          <w:sz w:val="22"/>
          <w:szCs w:val="22"/>
        </w:rPr>
        <w:t xml:space="preserve"> and collectively the </w:t>
      </w:r>
      <w:r>
        <w:rPr>
          <w:rFonts w:ascii="Arial" w:cs="Arial" w:eastAsia="Arial" w:hAnsi="Arial"/>
          <w:b/>
          <w:bCs/>
          <w:sz w:val="22"/>
          <w:szCs w:val="22"/>
        </w:rPr>
        <w:t xml:space="preserve">“Parties”</w:t>
      </w:r>
      <w:r>
        <w:rPr>
          <w:rFonts w:ascii="Arial" w:cs="Arial" w:eastAsia="Arial" w:hAnsi="Arial"/>
          <w:sz w:val="22"/>
          <w:szCs w:val="22"/>
        </w:rPr>
        <w:t xml:space="preserve">) wish to exchange confidential information for the purpose of exploring potential co-investment opportunities and deal sharing in the healthcare sector (the </w:t>
      </w:r>
      <w:r>
        <w:rPr>
          <w:rFonts w:ascii="Arial" w:cs="Arial" w:eastAsia="Arial" w:hAnsi="Arial"/>
          <w:b/>
          <w:bCs/>
          <w:sz w:val="22"/>
          <w:szCs w:val="22"/>
        </w:rPr>
        <w:t xml:space="preserve">“Purpose”</w:t>
      </w:r>
      <w:r>
        <w:rPr>
          <w:rFonts w:ascii="Arial" w:cs="Arial" w:eastAsia="Arial" w:hAnsi="Arial"/>
          <w:sz w:val="22"/>
          <w:szCs w:val="22"/>
        </w:rPr>
        <w:t xml:space="preserve">). Each Party may disclose Confidential Information to the other. In this Agreement, the Party disclosing Confidential Information is the </w:t>
      </w:r>
      <w:r>
        <w:rPr>
          <w:rFonts w:ascii="Arial" w:cs="Arial" w:eastAsia="Arial" w:hAnsi="Arial"/>
          <w:b/>
          <w:bCs/>
          <w:sz w:val="22"/>
          <w:szCs w:val="22"/>
        </w:rPr>
        <w:t xml:space="preserve">“Disclosing Party”</w:t>
      </w:r>
      <w:r>
        <w:rPr>
          <w:rFonts w:ascii="Arial" w:cs="Arial" w:eastAsia="Arial" w:hAnsi="Arial"/>
          <w:sz w:val="22"/>
          <w:szCs w:val="22"/>
        </w:rPr>
        <w:t xml:space="preserve"> and the Party receiving it is the </w:t>
      </w:r>
      <w:r>
        <w:rPr>
          <w:rFonts w:ascii="Arial" w:cs="Arial" w:eastAsia="Arial" w:hAnsi="Arial"/>
          <w:b/>
          <w:bCs/>
          <w:sz w:val="22"/>
          <w:szCs w:val="22"/>
        </w:rPr>
        <w:t xml:space="preserve">“Receiving Party”</w:t>
      </w:r>
      <w:r>
        <w:rPr>
          <w:rFonts w:ascii="Arial" w:cs="Arial" w:eastAsia="Arial" w:hAnsi="Arial"/>
          <w:sz w:val="22"/>
          <w:szCs w:val="22"/>
        </w:rPr>
        <w:t xml:space="preserve">. These labels apply to whichever Party is sharing information at the relevant time, and all obligations under this Agreement bind both Parties symmetrically.</w:t>
      </w:r>
    </w:p>
    <w:p>
      <w:pPr>
        <w:spacing w:after="200" w:before="300"/>
      </w:pPr>
      <w:r>
        <w:rPr>
          <w:rFonts w:ascii="Arial" w:cs="Arial" w:eastAsia="Arial" w:hAnsi="Arial"/>
          <w:b/>
          <w:bCs/>
          <w:sz w:val="22"/>
          <w:szCs w:val="22"/>
        </w:rPr>
        <w:t xml:space="preserve">1.	Confidential Information</w:t>
      </w:r>
    </w:p>
    <w:p>
      <w:pPr>
        <w:spacing w:after="200" w:line="276"/>
      </w:pPr>
      <w:r>
        <w:rPr>
          <w:rFonts w:ascii="Arial" w:cs="Arial" w:eastAsia="Arial" w:hAnsi="Arial"/>
          <w:b/>
          <w:bCs/>
          <w:sz w:val="22"/>
          <w:szCs w:val="22"/>
        </w:rPr>
        <w:t xml:space="preserve">“Confidential Information”</w:t>
      </w:r>
      <w:r>
        <w:rPr>
          <w:rFonts w:ascii="Arial" w:cs="Arial" w:eastAsia="Arial" w:hAnsi="Arial"/>
          <w:sz w:val="22"/>
          <w:szCs w:val="22"/>
        </w:rPr>
        <w:t xml:space="preserve"> means all non-public information disclosed by the Disclosing Party to the Receiving Party, whether in writing, orally, or electronically, including business plans, financial information, customer data, trade secrets, deal pipeline information, investment theses, and technical information. It excludes information that:</w:t>
      </w:r>
    </w:p>
    <w:p>
      <w:pPr>
        <w:spacing w:after="200" w:line="276"/>
      </w:pPr>
      <w:r>
        <w:rPr>
          <w:rFonts w:ascii="Arial" w:cs="Arial" w:eastAsia="Arial" w:hAnsi="Arial"/>
          <w:sz w:val="22"/>
          <w:szCs w:val="22"/>
        </w:rPr>
        <w:t xml:space="preserve">(a)	is or becomes publicly available through no fault of the Receiving Party;</w:t>
      </w:r>
    </w:p>
    <w:p>
      <w:pPr>
        <w:spacing w:after="200" w:line="276"/>
      </w:pPr>
      <w:r>
        <w:rPr>
          <w:rFonts w:ascii="Arial" w:cs="Arial" w:eastAsia="Arial" w:hAnsi="Arial"/>
          <w:sz w:val="22"/>
          <w:szCs w:val="22"/>
        </w:rPr>
        <w:t xml:space="preserve">(b)	was already known to the Receiving Party before disclosure;</w:t>
      </w:r>
    </w:p>
    <w:p>
      <w:pPr>
        <w:spacing w:after="200" w:line="276"/>
      </w:pPr>
      <w:r>
        <w:rPr>
          <w:rFonts w:ascii="Arial" w:cs="Arial" w:eastAsia="Arial" w:hAnsi="Arial"/>
          <w:sz w:val="22"/>
          <w:szCs w:val="22"/>
        </w:rPr>
        <w:t xml:space="preserve">(c)	is independently developed by the Receiving Party without use of the Confidential Information; or</w:t>
      </w:r>
    </w:p>
    <w:p>
      <w:pPr>
        <w:spacing w:after="200" w:line="276"/>
      </w:pPr>
      <w:r>
        <w:rPr>
          <w:rFonts w:ascii="Arial" w:cs="Arial" w:eastAsia="Arial" w:hAnsi="Arial"/>
          <w:sz w:val="22"/>
          <w:szCs w:val="22"/>
        </w:rPr>
        <w:t xml:space="preserve">(d)	is required to be disclosed by law, regulation, or court order, provided the Receiving Party gives prompt notice to allow the Disclosing Party to seek protective measures and discloses only the minimum necessary.</w:t>
      </w:r>
    </w:p>
    <w:p>
      <w:pPr>
        <w:spacing w:after="200" w:before="300"/>
      </w:pPr>
      <w:r>
        <w:rPr>
          <w:rFonts w:ascii="Arial" w:cs="Arial" w:eastAsia="Arial" w:hAnsi="Arial"/>
          <w:b/>
          <w:bCs/>
          <w:sz w:val="22"/>
          <w:szCs w:val="22"/>
        </w:rPr>
        <w:t xml:space="preserve">2.	Obligations of the Receiving Party</w:t>
      </w:r>
    </w:p>
    <w:p>
      <w:pPr>
        <w:spacing w:after="200" w:line="276"/>
      </w:pPr>
      <w:r>
        <w:rPr>
          <w:rFonts w:ascii="Arial" w:cs="Arial" w:eastAsia="Arial" w:hAnsi="Arial"/>
          <w:sz w:val="22"/>
          <w:szCs w:val="22"/>
        </w:rPr>
        <w:t xml:space="preserve">The Receiving Party agrees to:</w:t>
      </w:r>
    </w:p>
    <w:p>
      <w:pPr>
        <w:spacing w:after="200" w:line="276"/>
      </w:pPr>
      <w:r>
        <w:rPr>
          <w:rFonts w:ascii="Arial" w:cs="Arial" w:eastAsia="Arial" w:hAnsi="Arial"/>
          <w:sz w:val="22"/>
          <w:szCs w:val="22"/>
        </w:rPr>
        <w:t xml:space="preserve">(a)	use the Confidential Information only for the Purpose;</w:t>
      </w:r>
    </w:p>
    <w:p>
      <w:pPr>
        <w:spacing w:after="200" w:line="276"/>
      </w:pPr>
      <w:r>
        <w:rPr>
          <w:rFonts w:ascii="Arial" w:cs="Arial" w:eastAsia="Arial" w:hAnsi="Arial"/>
          <w:sz w:val="22"/>
          <w:szCs w:val="22"/>
        </w:rPr>
        <w:t xml:space="preserve">(b)	protect the Confidential Information with reasonable care, no less than it uses for its own confidential information;</w:t>
      </w:r>
    </w:p>
    <w:p>
      <w:pPr>
        <w:spacing w:after="200" w:line="276"/>
      </w:pPr>
      <w:r>
        <w:rPr>
          <w:rFonts w:ascii="Arial" w:cs="Arial" w:eastAsia="Arial" w:hAnsi="Arial"/>
          <w:sz w:val="22"/>
          <w:szCs w:val="22"/>
        </w:rPr>
        <w:t xml:space="preserve">(c)	limit disclosure to its employees, advisors, and affiliates who need to know and who are bound by similar confidentiality obligations; and</w:t>
      </w:r>
    </w:p>
    <w:p>
      <w:pPr>
        <w:spacing w:after="200" w:line="276"/>
      </w:pPr>
      <w:r>
        <w:rPr>
          <w:rFonts w:ascii="Arial" w:cs="Arial" w:eastAsia="Arial" w:hAnsi="Arial"/>
          <w:sz w:val="22"/>
          <w:szCs w:val="22"/>
        </w:rPr>
        <w:t xml:space="preserve">(d)	not copy or reproduce the information except as reasonably necessary for the Purpose.</w:t>
      </w:r>
    </w:p>
    <w:p>
      <w:pPr>
        <w:spacing w:after="200" w:before="300"/>
      </w:pPr>
      <w:r>
        <w:rPr>
          <w:rFonts w:ascii="Arial" w:cs="Arial" w:eastAsia="Arial" w:hAnsi="Arial"/>
          <w:b/>
          <w:bCs/>
          <w:sz w:val="22"/>
          <w:szCs w:val="22"/>
        </w:rPr>
        <w:t xml:space="preserve">3.	Return of Information</w:t>
      </w:r>
    </w:p>
    <w:p>
      <w:pPr>
        <w:spacing w:after="200" w:line="276"/>
      </w:pPr>
      <w:r>
        <w:rPr>
          <w:rFonts w:ascii="Arial" w:cs="Arial" w:eastAsia="Arial" w:hAnsi="Arial"/>
          <w:sz w:val="22"/>
          <w:szCs w:val="22"/>
        </w:rPr>
        <w:t xml:space="preserve">Upon the Disclosing Party’s written request or termination of discussions, the Receiving Party shall promptly return or destroy all Confidential Information and certify the same in writing. The Receiving Party may retain copies required by law, regulation, or standard backup and compliance procedures, subject to ongoing confidentiality obligations.</w:t>
      </w:r>
    </w:p>
    <w:p>
      <w:pPr>
        <w:spacing w:after="200" w:before="300"/>
      </w:pPr>
      <w:r>
        <w:rPr>
          <w:rFonts w:ascii="Arial" w:cs="Arial" w:eastAsia="Arial" w:hAnsi="Arial"/>
          <w:b/>
          <w:bCs/>
          <w:sz w:val="22"/>
          <w:szCs w:val="22"/>
        </w:rPr>
        <w:t xml:space="preserve">4.	No Warranty; No Obligation to Proceed</w:t>
      </w:r>
    </w:p>
    <w:p>
      <w:pPr>
        <w:spacing w:after="200" w:line="276"/>
      </w:pPr>
      <w:r>
        <w:rPr>
          <w:rFonts w:ascii="Arial" w:cs="Arial" w:eastAsia="Arial" w:hAnsi="Arial"/>
          <w:sz w:val="22"/>
          <w:szCs w:val="22"/>
        </w:rPr>
        <w:t xml:space="preserve">The Disclosing Party makes no warranty as to the accuracy or completeness of the Confidential Information. Neither Party is obligated to proceed with any transaction, and either Party may terminate discussions at any time.</w:t>
      </w:r>
    </w:p>
    <w:p>
      <w:pPr>
        <w:spacing w:after="200" w:before="300"/>
      </w:pPr>
      <w:r>
        <w:rPr>
          <w:rFonts w:ascii="Arial" w:cs="Arial" w:eastAsia="Arial" w:hAnsi="Arial"/>
          <w:b/>
          <w:bCs/>
          <w:sz w:val="22"/>
          <w:szCs w:val="22"/>
        </w:rPr>
        <w:t xml:space="preserve">5.	Term and Termination</w:t>
      </w:r>
    </w:p>
    <w:p>
      <w:pPr>
        <w:spacing w:after="200" w:line="276"/>
      </w:pPr>
      <w:r>
        <w:rPr>
          <w:rFonts w:ascii="Arial" w:cs="Arial" w:eastAsia="Arial" w:hAnsi="Arial"/>
          <w:sz w:val="22"/>
          <w:szCs w:val="22"/>
        </w:rPr>
        <w:t xml:space="preserve">This Agreement is effective from the date above. Either Party may terminate this Agreement on five (5) business days’ written notice to the other Party. The confidentiality obligations shall survive termination and shall terminate on the earliest of:</w:t>
      </w:r>
    </w:p>
    <w:p>
      <w:pPr>
        <w:spacing w:after="200" w:line="276"/>
      </w:pPr>
      <w:r>
        <w:rPr>
          <w:rFonts w:ascii="Arial" w:cs="Arial" w:eastAsia="Arial" w:hAnsi="Arial"/>
          <w:sz w:val="22"/>
          <w:szCs w:val="22"/>
        </w:rPr>
        <w:t xml:space="preserve">(a)	two (2) years from the date of disclosure of the relevant Confidential Information;</w:t>
      </w:r>
    </w:p>
    <w:p>
      <w:pPr>
        <w:spacing w:after="200" w:line="276"/>
      </w:pPr>
      <w:r>
        <w:rPr>
          <w:rFonts w:ascii="Arial" w:cs="Arial" w:eastAsia="Arial" w:hAnsi="Arial"/>
          <w:sz w:val="22"/>
          <w:szCs w:val="22"/>
        </w:rPr>
        <w:t xml:space="preserve">(b)	the information ceasing to be confidential through no fault of the Receiving Party; or</w:t>
      </w:r>
    </w:p>
    <w:p>
      <w:pPr>
        <w:spacing w:after="200" w:line="276"/>
      </w:pPr>
      <w:r>
        <w:rPr>
          <w:rFonts w:ascii="Arial" w:cs="Arial" w:eastAsia="Arial" w:hAnsi="Arial"/>
          <w:sz w:val="22"/>
          <w:szCs w:val="22"/>
        </w:rPr>
        <w:t xml:space="preserve">(c)	execution of definitive agreements between the Parties relating to the Purpose, at which point confidentiality shall be governed by such definitive agreements.</w:t>
      </w:r>
    </w:p>
    <w:p>
      <w:pPr>
        <w:spacing w:after="200" w:before="300"/>
      </w:pPr>
      <w:r>
        <w:rPr>
          <w:rFonts w:ascii="Arial" w:cs="Arial" w:eastAsia="Arial" w:hAnsi="Arial"/>
          <w:b/>
          <w:bCs/>
          <w:sz w:val="22"/>
          <w:szCs w:val="22"/>
        </w:rPr>
        <w:t xml:space="preserve">6.	Governing Law and Dispute Resolution</w:t>
      </w:r>
    </w:p>
    <w:p>
      <w:pPr>
        <w:spacing w:after="200" w:line="276"/>
      </w:pPr>
      <w:r>
        <w:rPr>
          <w:rFonts w:ascii="Arial" w:cs="Arial" w:eastAsia="Arial" w:hAnsi="Arial"/>
          <w:sz w:val="22"/>
          <w:szCs w:val="22"/>
        </w:rPr>
        <w:t xml:space="preserve">This Agreement is governed by the laws of Singapore. Any dispute shall be referred to the Singapore International Arbitration Centre (SIAC) for final resolution under its prevailing rules. The arbitration shall be conducted in English by a single arbitrator in Singapore. The arbitral award shall be final and binding.</w:t>
      </w:r>
    </w:p>
    <w:p>
      <w:pPr>
        <w:spacing w:after="200" w:before="300"/>
      </w:pPr>
      <w:r>
        <w:rPr>
          <w:rFonts w:ascii="Arial" w:cs="Arial" w:eastAsia="Arial" w:hAnsi="Arial"/>
          <w:b/>
          <w:bCs/>
          <w:sz w:val="22"/>
          <w:szCs w:val="22"/>
        </w:rPr>
        <w:t xml:space="preserve">7.	General</w:t>
      </w:r>
    </w:p>
    <w:p>
      <w:pPr>
        <w:spacing w:after="200" w:line="276"/>
      </w:pPr>
      <w:r>
        <w:rPr>
          <w:rFonts w:ascii="Arial" w:cs="Arial" w:eastAsia="Arial" w:hAnsi="Arial"/>
          <w:sz w:val="22"/>
          <w:szCs w:val="22"/>
        </w:rPr>
        <w:t xml:space="preserve">This Agreement constitutes the entire understanding between the Parties on this subject. Amendments must be in writing and signed by both Parties. If any provision is unenforceable, the remainder shall continue in effect. Neither Party may assign this Agreement without the other’s written consent. No third party has rights under the Contracts (Rights of Third Parties) Act.</w:t>
      </w:r>
    </w:p>
    <w:p>
      <w:pPr>
        <w:spacing w:after="300" w:before="400"/>
      </w:pPr>
    </w:p>
    <w:p>
      <w:pPr>
        <w:spacing w:after="200" w:line="276"/>
      </w:pPr>
      <w:r>
        <w:rPr>
          <w:rFonts w:ascii="Arial" w:cs="Arial" w:eastAsia="Arial" w:hAnsi="Arial"/>
          <w:b/>
          <w:bCs/>
          <w:sz w:val="22"/>
          <w:szCs w:val="22"/>
        </w:rPr>
        <w:t xml:space="preserve">IN WITNESS WHEREOF</w:t>
      </w:r>
      <w:r>
        <w:rPr>
          <w:rFonts w:ascii="Arial" w:cs="Arial" w:eastAsia="Arial" w:hAnsi="Arial"/>
          <w:sz w:val="22"/>
          <w:szCs w:val="22"/>
        </w:rPr>
        <w:t xml:space="preserve">, the Parties have executed this Agreement as of the date first written above.</w:t>
      </w:r>
    </w:p>
    <w:p>
      <w:pPr>
        <w:spacing w:after="100"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1400"/>
        <w:gridCol w:w="3280"/>
      </w:tblGrid>
      <w:tr>
        <w:tc>
          <w:tcPr>
            <w:tcW w:type="dxa" w:w="1400"/>
            <w:gridSpan w:val="2"/>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2"/>
                <w:szCs w:val="22"/>
              </w:rPr>
              <w:t xml:space="preserve">PARTY A</w:t>
            </w:r>
          </w:p>
        </w:tc>
        <w:tc>
          <w:tcPr>
            <w:tcW w:type="dxa" w:w="1400"/>
            <w:gridSpan w:val="2"/>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2"/>
                <w:szCs w:val="22"/>
              </w:rPr>
              <w:t xml:space="preserve">PARTY B</w:t>
            </w:r>
          </w:p>
        </w:tc>
      </w:tr>
      <w:tr>
        <w:tc>
          <w:tcPr>
            <w:tcW w:type="dxa" w:w="1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2"/>
                <w:szCs w:val="22"/>
              </w:rPr>
              <w:t xml:space="preserve">Signature:</w:t>
            </w:r>
          </w:p>
        </w:tc>
        <w:tc>
          <w:tcPr>
            <w:tcW w:type="dxa" w:w="3280"/>
            <w:tcBorders>
              <w:top w:val="none" w:sz="0"/>
              <w:left w:val="none" w:sz="0"/>
              <w:bottom w:val="single" w:color="999999" w:sz="1"/>
              <w:right w:val="none" w:sz="0"/>
            </w:tcBorders>
            <w:tcMar>
              <w:top w:type="dxa" w:w="60"/>
              <w:left w:type="dxa" w:w="100"/>
              <w:bottom w:type="dxa" w:w="60"/>
              <w:right w:type="dxa" w:w="100"/>
            </w:tcMar>
          </w:tcPr>
          <w:p>
            <w:r>
              <w:rPr>
                <w:rFonts w:ascii="Arial" w:cs="Arial" w:eastAsia="Arial" w:hAnsi="Arial"/>
                <w:sz w:val="22"/>
                <w:szCs w:val="22"/>
              </w:rPr>
              <w:t xml:space="preserve"/>
            </w:r>
          </w:p>
        </w:tc>
        <w:tc>
          <w:tcPr>
            <w:tcW w:type="dxa" w:w="1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2"/>
                <w:szCs w:val="22"/>
              </w:rPr>
              <w:t xml:space="preserve">Signature:</w:t>
            </w:r>
          </w:p>
        </w:tc>
        <w:tc>
          <w:tcPr>
            <w:tcW w:type="dxa" w:w="3280"/>
            <w:tcBorders>
              <w:top w:val="none" w:sz="0"/>
              <w:left w:val="none" w:sz="0"/>
              <w:bottom w:val="single" w:color="999999" w:sz="1"/>
              <w:right w:val="none" w:sz="0"/>
            </w:tcBorders>
            <w:tcMar>
              <w:top w:type="dxa" w:w="60"/>
              <w:left w:type="dxa" w:w="100"/>
              <w:bottom w:type="dxa" w:w="60"/>
              <w:right w:type="dxa" w:w="100"/>
            </w:tcMar>
          </w:tcPr>
          <w:p>
            <w:r>
              <w:rPr>
                <w:rFonts w:ascii="Arial" w:cs="Arial" w:eastAsia="Arial" w:hAnsi="Arial"/>
                <w:sz w:val="22"/>
                <w:szCs w:val="22"/>
              </w:rPr>
              <w:t xml:space="preserve"/>
            </w:r>
          </w:p>
        </w:tc>
      </w:tr>
      <w:tr>
        <w:tc>
          <w:tcPr>
            <w:tcW w:type="dxa" w:w="1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2"/>
                <w:szCs w:val="22"/>
              </w:rPr>
              <w:t xml:space="preserve">Name:</w:t>
            </w:r>
          </w:p>
        </w:tc>
        <w:tc>
          <w:tcPr>
            <w:tcW w:type="dxa" w:w="3280"/>
            <w:tcBorders>
              <w:top w:val="none" w:sz="0"/>
              <w:left w:val="none" w:sz="0"/>
              <w:bottom w:val="single" w:color="999999" w:sz="1"/>
              <w:right w:val="none" w:sz="0"/>
            </w:tcBorders>
            <w:tcMar>
              <w:top w:type="dxa" w:w="60"/>
              <w:left w:type="dxa" w:w="100"/>
              <w:bottom w:type="dxa" w:w="60"/>
              <w:right w:type="dxa" w:w="100"/>
            </w:tcMar>
          </w:tcPr>
          <w:p>
            <w:r>
              <w:rPr>
                <w:rFonts w:ascii="Arial" w:cs="Arial" w:eastAsia="Arial" w:hAnsi="Arial"/>
                <w:sz w:val="22"/>
                <w:szCs w:val="22"/>
              </w:rPr>
              <w:t xml:space="preserve">Jerry Tan</w:t>
            </w:r>
          </w:p>
        </w:tc>
        <w:tc>
          <w:tcPr>
            <w:tcW w:type="dxa" w:w="1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2"/>
                <w:szCs w:val="22"/>
              </w:rPr>
              <w:t xml:space="preserve">Name:</w:t>
            </w:r>
          </w:p>
        </w:tc>
        <w:tc>
          <w:tcPr>
            <w:tcW w:type="dxa" w:w="3280"/>
            <w:tcBorders>
              <w:top w:val="none" w:sz="0"/>
              <w:left w:val="none" w:sz="0"/>
              <w:bottom w:val="single" w:color="999999" w:sz="1"/>
              <w:right w:val="none" w:sz="0"/>
            </w:tcBorders>
            <w:tcMar>
              <w:top w:type="dxa" w:w="60"/>
              <w:left w:type="dxa" w:w="100"/>
              <w:bottom w:type="dxa" w:w="60"/>
              <w:right w:type="dxa" w:w="100"/>
            </w:tcMar>
          </w:tcPr>
          <w:p>
            <w:r>
              <w:rPr>
                <w:rFonts w:ascii="Arial" w:cs="Arial" w:eastAsia="Arial" w:hAnsi="Arial"/>
                <w:sz w:val="22"/>
                <w:szCs w:val="22"/>
              </w:rPr>
              <w:t xml:space="preserve">Chern Chet Yong</w:t>
            </w:r>
          </w:p>
        </w:tc>
      </w:tr>
      <w:tr>
        <w:tc>
          <w:tcPr>
            <w:tcW w:type="dxa" w:w="1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2"/>
                <w:szCs w:val="22"/>
              </w:rPr>
              <w:t xml:space="preserve">Designation:</w:t>
            </w:r>
          </w:p>
        </w:tc>
        <w:tc>
          <w:tcPr>
            <w:tcW w:type="dxa" w:w="3280"/>
            <w:tcBorders>
              <w:top w:val="none" w:sz="0"/>
              <w:left w:val="none" w:sz="0"/>
              <w:bottom w:val="single" w:color="999999" w:sz="1"/>
              <w:right w:val="none" w:sz="0"/>
            </w:tcBorders>
            <w:tcMar>
              <w:top w:type="dxa" w:w="60"/>
              <w:left w:type="dxa" w:w="100"/>
              <w:bottom w:type="dxa" w:w="60"/>
              <w:right w:type="dxa" w:w="100"/>
            </w:tcMar>
          </w:tcPr>
          <w:p>
            <w:r>
              <w:rPr>
                <w:rFonts w:ascii="Arial" w:cs="Arial" w:eastAsia="Arial" w:hAnsi="Arial"/>
                <w:sz w:val="22"/>
                <w:szCs w:val="22"/>
              </w:rPr>
              <w:t xml:space="preserve">Investment Director</w:t>
            </w:r>
          </w:p>
        </w:tc>
        <w:tc>
          <w:tcPr>
            <w:tcW w:type="dxa" w:w="14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sz w:val="22"/>
                <w:szCs w:val="22"/>
              </w:rPr>
              <w:t xml:space="preserve">Designation:</w:t>
            </w:r>
          </w:p>
        </w:tc>
        <w:tc>
          <w:tcPr>
            <w:tcW w:type="dxa" w:w="3280"/>
            <w:tcBorders>
              <w:top w:val="none" w:sz="0"/>
              <w:left w:val="none" w:sz="0"/>
              <w:bottom w:val="single" w:color="999999" w:sz="1"/>
              <w:right w:val="none" w:sz="0"/>
            </w:tcBorders>
            <w:tcMar>
              <w:top w:type="dxa" w:w="60"/>
              <w:left w:type="dxa" w:w="100"/>
              <w:bottom w:type="dxa" w:w="60"/>
              <w:right w:type="dxa" w:w="100"/>
            </w:tcMar>
          </w:tcPr>
          <w:p>
            <w:r>
              <w:rPr>
                <w:rFonts w:ascii="Arial" w:cs="Arial" w:eastAsia="Arial" w:hAnsi="Arial"/>
                <w:sz w:val="22"/>
                <w:szCs w:val="22"/>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2026-03-23T08:57:12.452Z</dcterms:created>
  <dcterms:modified xsi:type="dcterms:W3CDTF">2026-03-23T08:57:12.452Z</dcterms:modified>
</cp:coreProperties>
</file>

<file path=docProps/custom.xml><?xml version="1.0" encoding="utf-8"?>
<Properties xmlns="http://schemas.openxmlformats.org/officeDocument/2006/custom-properties" xmlns:vt="http://schemas.openxmlformats.org/officeDocument/2006/docPropsVTypes"/>
</file>