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olityka-prywatności-pedro"/>
    <w:p>
      <w:pPr>
        <w:pStyle w:val="Heading1"/>
      </w:pPr>
      <w:r>
        <w:t xml:space="preserve">Polityka Prywatności PEDRO</w:t>
      </w:r>
    </w:p>
    <w:bookmarkStart w:id="20" w:name="informacje-ogólne"/>
    <w:p>
      <w:pPr>
        <w:pStyle w:val="Heading2"/>
      </w:pPr>
      <w:r>
        <w:t xml:space="preserve">1. Informacje ogólne</w:t>
      </w:r>
    </w:p>
    <w:p>
      <w:pPr>
        <w:pStyle w:val="FirstParagraph"/>
      </w:pPr>
      <w:r>
        <w:t xml:space="preserve">Niniejsza Polityka Prywatności opisuje zasady przetwarzania danych osobowych użytkowników aplikacji mobilnej oraz serwisu internetowego</w:t>
      </w:r>
      <w:r>
        <w:t xml:space="preserve"> </w:t>
      </w:r>
      <w:r>
        <w:rPr>
          <w:b/>
          <w:bCs/>
        </w:rPr>
        <w:t xml:space="preserve">PEDRO</w:t>
      </w:r>
      <w:r>
        <w:t xml:space="preserve">.</w:t>
      </w:r>
    </w:p>
    <w:bookmarkEnd w:id="20"/>
    <w:bookmarkStart w:id="21" w:name="administrator-danych"/>
    <w:p>
      <w:pPr>
        <w:pStyle w:val="Heading2"/>
      </w:pPr>
      <w:r>
        <w:t xml:space="preserve">2. Administrator danych</w:t>
      </w:r>
    </w:p>
    <w:p>
      <w:pPr>
        <w:pStyle w:val="FirstParagraph"/>
      </w:pPr>
      <w:r>
        <w:t xml:space="preserve">Administratorem danych osobowych jest</w:t>
      </w:r>
      <w:r>
        <w:t xml:space="preserve"> </w:t>
      </w:r>
      <w:r>
        <w:rPr>
          <w:b/>
          <w:bCs/>
        </w:rPr>
        <w:t xml:space="preserve">Marcin Czaplicki</w:t>
      </w:r>
      <w:r>
        <w:t xml:space="preserve">, osoba fizyczna, twórca projektu PEDRO (dalej: „Administrator”).</w:t>
      </w:r>
    </w:p>
    <w:bookmarkEnd w:id="21"/>
    <w:bookmarkStart w:id="24" w:name="zakres-przetwarzanych-danych"/>
    <w:p>
      <w:pPr>
        <w:pStyle w:val="Heading2"/>
      </w:pPr>
      <w:r>
        <w:t xml:space="preserve">3. Zakres przetwarzanych danych</w:t>
      </w:r>
    </w:p>
    <w:bookmarkStart w:id="22" w:name="użytkownicy-końcowi"/>
    <w:p>
      <w:pPr>
        <w:pStyle w:val="Heading3"/>
      </w:pPr>
      <w:r>
        <w:t xml:space="preserve">Użytkownicy końcowi:</w:t>
      </w:r>
    </w:p>
    <w:p>
      <w:pPr>
        <w:pStyle w:val="Compact"/>
        <w:numPr>
          <w:ilvl w:val="0"/>
          <w:numId w:val="1001"/>
        </w:numPr>
      </w:pPr>
      <w:r>
        <w:t xml:space="preserve">imię,</w:t>
      </w:r>
    </w:p>
    <w:p>
      <w:pPr>
        <w:pStyle w:val="Compact"/>
        <w:numPr>
          <w:ilvl w:val="0"/>
          <w:numId w:val="1001"/>
        </w:numPr>
      </w:pPr>
      <w:r>
        <w:t xml:space="preserve">adres e-mail,</w:t>
      </w:r>
    </w:p>
    <w:p>
      <w:pPr>
        <w:pStyle w:val="Compact"/>
        <w:numPr>
          <w:ilvl w:val="0"/>
          <w:numId w:val="1001"/>
        </w:numPr>
      </w:pPr>
      <w:r>
        <w:t xml:space="preserve">hasło (przechowywane w formie zaszyfrowanej),</w:t>
      </w:r>
    </w:p>
    <w:p>
      <w:pPr>
        <w:pStyle w:val="Compact"/>
        <w:numPr>
          <w:ilvl w:val="0"/>
          <w:numId w:val="1001"/>
        </w:numPr>
      </w:pPr>
      <w:r>
        <w:t xml:space="preserve">dane lokalizacyjne (opcjonalnie).</w:t>
      </w:r>
    </w:p>
    <w:bookmarkEnd w:id="22"/>
    <w:bookmarkStart w:id="23" w:name="biznesy"/>
    <w:p>
      <w:pPr>
        <w:pStyle w:val="Heading3"/>
      </w:pPr>
      <w:r>
        <w:t xml:space="preserve">Biznesy:</w:t>
      </w:r>
    </w:p>
    <w:p>
      <w:pPr>
        <w:pStyle w:val="Compact"/>
        <w:numPr>
          <w:ilvl w:val="0"/>
          <w:numId w:val="1002"/>
        </w:numPr>
      </w:pPr>
      <w:r>
        <w:t xml:space="preserve">nazwa biznesu,</w:t>
      </w:r>
    </w:p>
    <w:p>
      <w:pPr>
        <w:pStyle w:val="Compact"/>
        <w:numPr>
          <w:ilvl w:val="0"/>
          <w:numId w:val="1002"/>
        </w:numPr>
      </w:pPr>
      <w:r>
        <w:t xml:space="preserve">adres,</w:t>
      </w:r>
    </w:p>
    <w:p>
      <w:pPr>
        <w:pStyle w:val="Compact"/>
        <w:numPr>
          <w:ilvl w:val="0"/>
          <w:numId w:val="1002"/>
        </w:numPr>
      </w:pPr>
      <w:r>
        <w:t xml:space="preserve">numer NIP (wyłącznie do celów identyfikacyjnych i przyszłych rozliczeń).</w:t>
      </w:r>
    </w:p>
    <w:bookmarkEnd w:id="23"/>
    <w:bookmarkEnd w:id="24"/>
    <w:bookmarkStart w:id="25" w:name="cele-przetwarzania-danych"/>
    <w:p>
      <w:pPr>
        <w:pStyle w:val="Heading2"/>
      </w:pPr>
      <w:r>
        <w:t xml:space="preserve">4. Cele przetwarzania danych</w:t>
      </w:r>
    </w:p>
    <w:p>
      <w:pPr>
        <w:pStyle w:val="FirstParagraph"/>
      </w:pPr>
      <w:r>
        <w:t xml:space="preserve">Dane przetwarzane są w celu:</w:t>
      </w:r>
      <w:r>
        <w:t xml:space="preserve"> </w:t>
      </w:r>
      <w:r>
        <w:t xml:space="preserve">- założenia i prowadzenia konta użytkownika lub biznesu,</w:t>
      </w:r>
      <w:r>
        <w:t xml:space="preserve"> </w:t>
      </w:r>
      <w:r>
        <w:t xml:space="preserve">- umożliwienia korzystania z funkcji Aplikacji,</w:t>
      </w:r>
      <w:r>
        <w:t xml:space="preserve"> </w:t>
      </w:r>
      <w:r>
        <w:t xml:space="preserve">- prezentowania ofert lokalnych,</w:t>
      </w:r>
      <w:r>
        <w:t xml:space="preserve"> </w:t>
      </w:r>
      <w:r>
        <w:t xml:space="preserve">- komunikacji dotyczącej funkcjonowania Aplikacji,</w:t>
      </w:r>
      <w:r>
        <w:t xml:space="preserve"> </w:t>
      </w:r>
      <w:r>
        <w:t xml:space="preserve">- informowania o nowych funkcjach (za zgodą użytkownika).</w:t>
      </w:r>
    </w:p>
    <w:bookmarkEnd w:id="25"/>
    <w:bookmarkStart w:id="26" w:name="podstawa-prawna"/>
    <w:p>
      <w:pPr>
        <w:pStyle w:val="Heading2"/>
      </w:pPr>
      <w:r>
        <w:t xml:space="preserve">5. Podstawa prawna</w:t>
      </w:r>
    </w:p>
    <w:p>
      <w:pPr>
        <w:pStyle w:val="FirstParagraph"/>
      </w:pPr>
      <w:r>
        <w:t xml:space="preserve">Dane przetwarzane są na podstawie:</w:t>
      </w:r>
      <w:r>
        <w:t xml:space="preserve"> </w:t>
      </w:r>
      <w:r>
        <w:t xml:space="preserve">- zgody użytkownika (art. 6 ust. 1 lit. a RODO),</w:t>
      </w:r>
      <w:r>
        <w:t xml:space="preserve"> </w:t>
      </w:r>
      <w:r>
        <w:t xml:space="preserve">- niezbędności do wykonania usługi (art. 6 ust. 1 lit. b RODO).</w:t>
      </w:r>
    </w:p>
    <w:bookmarkEnd w:id="26"/>
    <w:bookmarkStart w:id="27" w:name="lokalizacja"/>
    <w:p>
      <w:pPr>
        <w:pStyle w:val="Heading2"/>
      </w:pPr>
      <w:r>
        <w:t xml:space="preserve">6. Lokalizacja</w:t>
      </w:r>
    </w:p>
    <w:p>
      <w:pPr>
        <w:pStyle w:val="FirstParagraph"/>
      </w:pPr>
      <w:r>
        <w:t xml:space="preserve">Dane lokalizacyjne wykorzystywane są wyłącznie w celu prezentowania ofert w pobliżu użytkownika.</w:t>
      </w:r>
      <w:r>
        <w:t xml:space="preserve"> </w:t>
      </w:r>
      <w:r>
        <w:t xml:space="preserve">Zgoda na lokalizację może być w każdej chwili cofnięta.</w:t>
      </w:r>
    </w:p>
    <w:bookmarkEnd w:id="27"/>
    <w:bookmarkStart w:id="28" w:name="X26dfd2c6f9162520f35a586ca7f21b13dd20296"/>
    <w:p>
      <w:pPr>
        <w:pStyle w:val="Heading2"/>
      </w:pPr>
      <w:r>
        <w:t xml:space="preserve">7. Odbiorcy danych i podmioty przetwarzające</w:t>
      </w:r>
    </w:p>
    <w:p>
      <w:pPr>
        <w:pStyle w:val="FirstParagraph"/>
      </w:pPr>
      <w:r>
        <w:t xml:space="preserve">Dane mogą być przetwarzane przez: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Firebase</w:t>
      </w:r>
      <w:r>
        <w:t xml:space="preserve"> </w:t>
      </w:r>
      <w:r>
        <w:t xml:space="preserve">(Authentication, Firestore, Storage),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Analytics</w:t>
      </w:r>
      <w:r>
        <w:t xml:space="preserve"> </w:t>
      </w:r>
      <w:r>
        <w:t xml:space="preserve">(strona www.pedro.app),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(hosting strony),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</w:t>
      </w:r>
      <w:r>
        <w:t xml:space="preserve"> </w:t>
      </w:r>
      <w:r>
        <w:t xml:space="preserve">(infrastruktura aplikacji mobilnej),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– wyłącznie po uruchomieniu płatności dla biznesów.</w:t>
      </w:r>
    </w:p>
    <w:bookmarkEnd w:id="28"/>
    <w:bookmarkStart w:id="29" w:name="cookies"/>
    <w:p>
      <w:pPr>
        <w:pStyle w:val="Heading2"/>
      </w:pPr>
      <w:r>
        <w:t xml:space="preserve">8. Cookies</w:t>
      </w:r>
    </w:p>
    <w:p>
      <w:pPr>
        <w:pStyle w:val="FirstParagraph"/>
      </w:pPr>
      <w:r>
        <w:t xml:space="preserve">Strona www.pedro.app wykorzystuje pliki cookies w celach:</w:t>
      </w:r>
      <w:r>
        <w:t xml:space="preserve"> </w:t>
      </w:r>
      <w:r>
        <w:t xml:space="preserve">- zapewnienia prawidłowego działania serwisu,</w:t>
      </w:r>
      <w:r>
        <w:t xml:space="preserve"> </w:t>
      </w:r>
      <w:r>
        <w:t xml:space="preserve">- analizy statystycznej (Google Analytics).</w:t>
      </w:r>
      <w:r>
        <w:t xml:space="preserve"> </w:t>
      </w:r>
      <w:r>
        <w:t xml:space="preserve">Użytkownik może zarządzać cookies poprzez ustawienia przeglądarki.</w:t>
      </w:r>
    </w:p>
    <w:bookmarkEnd w:id="29"/>
    <w:bookmarkStart w:id="30" w:name="marketing-i-komunikacja"/>
    <w:p>
      <w:pPr>
        <w:pStyle w:val="Heading2"/>
      </w:pPr>
      <w:r>
        <w:t xml:space="preserve">9. Marketing i komunikacja</w:t>
      </w:r>
    </w:p>
    <w:p>
      <w:pPr>
        <w:pStyle w:val="Compact"/>
        <w:numPr>
          <w:ilvl w:val="0"/>
          <w:numId w:val="1003"/>
        </w:numPr>
      </w:pPr>
      <w:r>
        <w:t xml:space="preserve">Administrator może wysyłać informacje o nowych funkcjach Aplikacji.</w:t>
      </w:r>
    </w:p>
    <w:p>
      <w:pPr>
        <w:pStyle w:val="Compact"/>
        <w:numPr>
          <w:ilvl w:val="0"/>
          <w:numId w:val="1003"/>
        </w:numPr>
      </w:pPr>
      <w:r>
        <w:t xml:space="preserve">Komunikacja marketingowa odbywa się wyłącznie za wyraźną zgodą użytkownika.</w:t>
      </w:r>
    </w:p>
    <w:p>
      <w:pPr>
        <w:pStyle w:val="Compact"/>
        <w:numPr>
          <w:ilvl w:val="0"/>
          <w:numId w:val="1003"/>
        </w:numPr>
      </w:pPr>
      <w:r>
        <w:t xml:space="preserve">Zgoda może zostać cofnięta w dowolnym momencie.</w:t>
      </w:r>
    </w:p>
    <w:bookmarkEnd w:id="30"/>
    <w:bookmarkStart w:id="31" w:name="okres-przechowywania-danych"/>
    <w:p>
      <w:pPr>
        <w:pStyle w:val="Heading2"/>
      </w:pPr>
      <w:r>
        <w:t xml:space="preserve">10. Okres przechowywania danych</w:t>
      </w:r>
    </w:p>
    <w:p>
      <w:pPr>
        <w:pStyle w:val="Compact"/>
        <w:numPr>
          <w:ilvl w:val="0"/>
          <w:numId w:val="1004"/>
        </w:numPr>
      </w:pPr>
      <w:r>
        <w:t xml:space="preserve">Dane przechowywane są przez czas istnienia konta.</w:t>
      </w:r>
    </w:p>
    <w:p>
      <w:pPr>
        <w:pStyle w:val="Compact"/>
        <w:numPr>
          <w:ilvl w:val="0"/>
          <w:numId w:val="1004"/>
        </w:numPr>
      </w:pPr>
      <w:r>
        <w:t xml:space="preserve">Po usunięciu konta dane są</w:t>
      </w:r>
      <w:r>
        <w:t xml:space="preserve"> </w:t>
      </w:r>
      <w:r>
        <w:rPr>
          <w:b/>
          <w:bCs/>
        </w:rPr>
        <w:t xml:space="preserve">trwale i nieodwracalnie usuwane</w:t>
      </w:r>
      <w:r>
        <w:t xml:space="preserve">.</w:t>
      </w:r>
    </w:p>
    <w:bookmarkEnd w:id="31"/>
    <w:bookmarkStart w:id="32" w:name="prawa-użytkownika"/>
    <w:p>
      <w:pPr>
        <w:pStyle w:val="Heading2"/>
      </w:pPr>
      <w:r>
        <w:t xml:space="preserve">11. Prawa użytkownika</w:t>
      </w:r>
    </w:p>
    <w:p>
      <w:pPr>
        <w:pStyle w:val="FirstParagraph"/>
      </w:pPr>
      <w:r>
        <w:t xml:space="preserve">Użytkownik ma prawo do:</w:t>
      </w:r>
      <w:r>
        <w:t xml:space="preserve"> </w:t>
      </w:r>
      <w:r>
        <w:t xml:space="preserve">- dostępu do swoich danych,</w:t>
      </w:r>
      <w:r>
        <w:t xml:space="preserve"> </w:t>
      </w:r>
      <w:r>
        <w:t xml:space="preserve">- ich poprawiania,</w:t>
      </w:r>
      <w:r>
        <w:t xml:space="preserve"> </w:t>
      </w:r>
      <w:r>
        <w:t xml:space="preserve">- usunięcia,</w:t>
      </w:r>
      <w:r>
        <w:t xml:space="preserve"> </w:t>
      </w:r>
      <w:r>
        <w:t xml:space="preserve">- ograniczenia przetwarzania,</w:t>
      </w:r>
      <w:r>
        <w:t xml:space="preserve"> </w:t>
      </w:r>
      <w:r>
        <w:t xml:space="preserve">- cofnięcia zgody,</w:t>
      </w:r>
      <w:r>
        <w:t xml:space="preserve"> </w:t>
      </w:r>
      <w:r>
        <w:t xml:space="preserve">- wniesienia skargi do Prezesa UODO.</w:t>
      </w:r>
    </w:p>
    <w:bookmarkEnd w:id="32"/>
    <w:bookmarkStart w:id="33" w:name="bezpieczeństwo-danych"/>
    <w:p>
      <w:pPr>
        <w:pStyle w:val="Heading2"/>
      </w:pPr>
      <w:r>
        <w:t xml:space="preserve">12. Bezpieczeństwo danych</w:t>
      </w:r>
    </w:p>
    <w:p>
      <w:pPr>
        <w:pStyle w:val="FirstParagraph"/>
      </w:pPr>
      <w:r>
        <w:t xml:space="preserve">Administrator stosuje środki techniczne i organizacyjne zapewniające ochronę danych osobowych.</w:t>
      </w:r>
    </w:p>
    <w:bookmarkEnd w:id="33"/>
    <w:bookmarkStart w:id="34" w:name="zmiany-polityki-prywatności"/>
    <w:p>
      <w:pPr>
        <w:pStyle w:val="Heading2"/>
      </w:pPr>
      <w:r>
        <w:t xml:space="preserve">13. Zmiany polityki prywatności</w:t>
      </w:r>
    </w:p>
    <w:p>
      <w:pPr>
        <w:pStyle w:val="FirstParagraph"/>
      </w:pPr>
      <w:r>
        <w:t xml:space="preserve">Polityka Prywatności może być aktualizowana w związku z rozwojem Aplikacji.</w:t>
      </w:r>
      <w:r>
        <w:t xml:space="preserve"> </w:t>
      </w:r>
      <w:r>
        <w:t xml:space="preserve">O istotnych zmianach użytkownicy zostaną poinformowani.</w:t>
      </w:r>
    </w:p>
    <w:bookmarkEnd w:id="34"/>
    <w:bookmarkStart w:id="35" w:name="kontakt"/>
    <w:p>
      <w:pPr>
        <w:pStyle w:val="Heading2"/>
      </w:pPr>
      <w:r>
        <w:t xml:space="preserve">14. Kontakt</w:t>
      </w:r>
    </w:p>
    <w:p>
      <w:pPr>
        <w:pStyle w:val="FirstParagraph"/>
      </w:pPr>
      <w:r>
        <w:t xml:space="preserve">W sprawach związanych z ochroną danych osobowych prosimy o kontakt:</w:t>
      </w:r>
      <w:r>
        <w:t xml:space="preserve"> </w:t>
      </w:r>
      <w:r>
        <w:rPr>
          <w:b/>
          <w:bCs/>
        </w:rPr>
        <w:t xml:space="preserve">kontakt@pedro.app</w:t>
      </w:r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2026-01-02T09:16:14Z</dcterms:created>
  <dcterms:modified xsi:type="dcterms:W3CDTF">2026-01-02T09:16:14Z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