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6604f30cd13a1aee166f75dc0f56812a6eaba6"/>
    <w:p>
      <w:pPr>
        <w:pStyle w:val="Heading1"/>
      </w:pPr>
      <w:r>
        <w:t xml:space="preserve">Regulamin korzystania z aplikacji PEDRO (wersja BETA)</w:t>
      </w:r>
    </w:p>
    <w:bookmarkStart w:id="20" w:name="informacje-ogólne"/>
    <w:p>
      <w:pPr>
        <w:pStyle w:val="Heading2"/>
      </w:pPr>
      <w:r>
        <w:t xml:space="preserve">§1. Informacje ogólne</w:t>
      </w:r>
    </w:p>
    <w:p>
      <w:pPr>
        <w:pStyle w:val="Compact"/>
        <w:numPr>
          <w:ilvl w:val="0"/>
          <w:numId w:val="1001"/>
        </w:numPr>
      </w:pPr>
      <w:r>
        <w:t xml:space="preserve">Niniejszy Regulamin określa zasady korzystania z aplikacji mobilnej oraz serwisu internetowego</w:t>
      </w:r>
      <w:r>
        <w:t xml:space="preserve"> </w:t>
      </w:r>
      <w:r>
        <w:rPr>
          <w:b/>
          <w:bCs/>
        </w:rPr>
        <w:t xml:space="preserve">PEDRO</w:t>
      </w:r>
      <w:r>
        <w:t xml:space="preserve"> </w:t>
      </w:r>
      <w:r>
        <w:t xml:space="preserve">(dalej: „Aplikacja”).</w:t>
      </w:r>
    </w:p>
    <w:p>
      <w:pPr>
        <w:pStyle w:val="Compact"/>
        <w:numPr>
          <w:ilvl w:val="0"/>
          <w:numId w:val="1001"/>
        </w:numPr>
      </w:pPr>
      <w:r>
        <w:t xml:space="preserve">Aplikacja PEDRO jest projektem w fazie</w:t>
      </w:r>
      <w:r>
        <w:t xml:space="preserve"> </w:t>
      </w:r>
      <w:r>
        <w:rPr>
          <w:b/>
          <w:bCs/>
        </w:rPr>
        <w:t xml:space="preserve">BETA</w:t>
      </w:r>
      <w:r>
        <w:t xml:space="preserve">, udostępnianym w celu testowania funkcjonalności oraz zebrania opinii użytkowników.</w:t>
      </w:r>
    </w:p>
    <w:p>
      <w:pPr>
        <w:pStyle w:val="Compact"/>
        <w:numPr>
          <w:ilvl w:val="0"/>
          <w:numId w:val="1001"/>
        </w:numPr>
      </w:pPr>
      <w:r>
        <w:t xml:space="preserve">Aplikacja działa wyłącznie na terytorium Rzeczypospolitej Polskiej.</w:t>
      </w:r>
    </w:p>
    <w:p>
      <w:pPr>
        <w:pStyle w:val="Compact"/>
        <w:numPr>
          <w:ilvl w:val="0"/>
          <w:numId w:val="1001"/>
        </w:numPr>
      </w:pPr>
      <w:r>
        <w:t xml:space="preserve">Korzystanie z Aplikacji jest dobrowolne i bezpłatne.</w:t>
      </w:r>
    </w:p>
    <w:bookmarkEnd w:id="20"/>
    <w:bookmarkStart w:id="21" w:name="administrator-i-status-prawny-projektu"/>
    <w:p>
      <w:pPr>
        <w:pStyle w:val="Heading2"/>
      </w:pPr>
      <w:r>
        <w:t xml:space="preserve">§2. Administrator i status prawny projektu</w:t>
      </w:r>
    </w:p>
    <w:p>
      <w:pPr>
        <w:pStyle w:val="Compact"/>
        <w:numPr>
          <w:ilvl w:val="0"/>
          <w:numId w:val="1002"/>
        </w:numPr>
      </w:pPr>
      <w:r>
        <w:t xml:space="preserve">Administratorem Aplikacji oraz podmiotem odpowiedzialnym za jej funkcjonowanie jest</w:t>
      </w:r>
      <w:r>
        <w:t xml:space="preserve"> </w:t>
      </w:r>
      <w:r>
        <w:rPr>
          <w:b/>
          <w:bCs/>
        </w:rPr>
        <w:t xml:space="preserve">Marcin Czaplicki</w:t>
      </w:r>
      <w:r>
        <w:t xml:space="preserve">, osoba fizyczna, twórca projektu PEDRO.</w:t>
      </w:r>
    </w:p>
    <w:p>
      <w:pPr>
        <w:pStyle w:val="Compact"/>
        <w:numPr>
          <w:ilvl w:val="0"/>
          <w:numId w:val="1002"/>
        </w:numPr>
      </w:pPr>
      <w:r>
        <w:t xml:space="preserve">Projekt PEDRO w fazie BETA nie jest prowadzony w ramach działalności gospodarczej.</w:t>
      </w:r>
    </w:p>
    <w:p>
      <w:pPr>
        <w:pStyle w:val="Compact"/>
        <w:numPr>
          <w:ilvl w:val="0"/>
          <w:numId w:val="1002"/>
        </w:numPr>
      </w:pPr>
      <w:r>
        <w:t xml:space="preserve">Administrator nie świadczy w fazie BETA usług odpłatnych, nie pobiera opłat oraz nie wystawia faktur.</w:t>
      </w:r>
    </w:p>
    <w:bookmarkEnd w:id="21"/>
    <w:bookmarkStart w:id="22" w:name="charakter-aplikacji"/>
    <w:p>
      <w:pPr>
        <w:pStyle w:val="Heading2"/>
      </w:pPr>
      <w:r>
        <w:t xml:space="preserve">§3. Charakter Aplikacji</w:t>
      </w:r>
    </w:p>
    <w:p>
      <w:pPr>
        <w:pStyle w:val="Compact"/>
        <w:numPr>
          <w:ilvl w:val="0"/>
          <w:numId w:val="1003"/>
        </w:numPr>
      </w:pPr>
      <w:r>
        <w:t xml:space="preserve">PEDRO jest platformą informacyjną agregującą oferty, promocje i kupony lokalnych biznesów.</w:t>
      </w:r>
    </w:p>
    <w:p>
      <w:pPr>
        <w:pStyle w:val="Compact"/>
        <w:numPr>
          <w:ilvl w:val="0"/>
          <w:numId w:val="1003"/>
        </w:numPr>
      </w:pPr>
      <w:r>
        <w:t xml:space="preserve">Aplikacja umożliwia:</w:t>
      </w:r>
    </w:p>
    <w:p>
      <w:pPr>
        <w:pStyle w:val="Compact"/>
        <w:numPr>
          <w:ilvl w:val="1"/>
          <w:numId w:val="1004"/>
        </w:numPr>
      </w:pPr>
      <w:r>
        <w:t xml:space="preserve">użytkownikom końcowym – przeglądanie ofert oraz zapisywanie kuponów,</w:t>
      </w:r>
    </w:p>
    <w:p>
      <w:pPr>
        <w:pStyle w:val="Compact"/>
        <w:numPr>
          <w:ilvl w:val="1"/>
          <w:numId w:val="1004"/>
        </w:numPr>
      </w:pPr>
      <w:r>
        <w:t xml:space="preserve">biznesom – dodawanie i edycję ofert promocyjnych w celach testowych.</w:t>
      </w:r>
    </w:p>
    <w:p>
      <w:pPr>
        <w:pStyle w:val="Compact"/>
        <w:numPr>
          <w:ilvl w:val="0"/>
          <w:numId w:val="1003"/>
        </w:numPr>
      </w:pPr>
      <w:r>
        <w:t xml:space="preserve">Aplikacja nie jest stroną umowy sprzedaży pomiędzy użytkownikiem a biznesem.</w:t>
      </w:r>
    </w:p>
    <w:bookmarkEnd w:id="22"/>
    <w:bookmarkStart w:id="23" w:name="rejestracja-i-konta-użytkowników"/>
    <w:p>
      <w:pPr>
        <w:pStyle w:val="Heading2"/>
      </w:pPr>
      <w:r>
        <w:t xml:space="preserve">§4. Rejestracja i konta użytkowników</w:t>
      </w:r>
    </w:p>
    <w:p>
      <w:pPr>
        <w:pStyle w:val="Compact"/>
        <w:numPr>
          <w:ilvl w:val="0"/>
          <w:numId w:val="1005"/>
        </w:numPr>
      </w:pPr>
      <w:r>
        <w:t xml:space="preserve">Korzystanie z Aplikacji wymaga utworzenia konta.</w:t>
      </w:r>
    </w:p>
    <w:p>
      <w:pPr>
        <w:pStyle w:val="Compact"/>
        <w:numPr>
          <w:ilvl w:val="0"/>
          <w:numId w:val="1005"/>
        </w:numPr>
      </w:pPr>
      <w:r>
        <w:t xml:space="preserve">Podczas rejestracji użytkownik podaje:</w:t>
      </w:r>
    </w:p>
    <w:p>
      <w:pPr>
        <w:pStyle w:val="Compact"/>
        <w:numPr>
          <w:ilvl w:val="1"/>
          <w:numId w:val="1006"/>
        </w:numPr>
      </w:pPr>
      <w:r>
        <w:t xml:space="preserve">imię,</w:t>
      </w:r>
    </w:p>
    <w:p>
      <w:pPr>
        <w:pStyle w:val="Compact"/>
        <w:numPr>
          <w:ilvl w:val="1"/>
          <w:numId w:val="1006"/>
        </w:numPr>
      </w:pPr>
      <w:r>
        <w:t xml:space="preserve">adres e-mail,</w:t>
      </w:r>
    </w:p>
    <w:p>
      <w:pPr>
        <w:pStyle w:val="Compact"/>
        <w:numPr>
          <w:ilvl w:val="1"/>
          <w:numId w:val="1006"/>
        </w:numPr>
      </w:pPr>
      <w:r>
        <w:t xml:space="preserve">hasło.</w:t>
      </w:r>
    </w:p>
    <w:p>
      <w:pPr>
        <w:pStyle w:val="Compact"/>
        <w:numPr>
          <w:ilvl w:val="0"/>
          <w:numId w:val="1005"/>
        </w:numPr>
      </w:pPr>
      <w:r>
        <w:t xml:space="preserve">Podanie danych jest dobrowolne, lecz niezbędne do korzystania z Aplikacji.</w:t>
      </w:r>
    </w:p>
    <w:p>
      <w:pPr>
        <w:pStyle w:val="Compact"/>
        <w:numPr>
          <w:ilvl w:val="0"/>
          <w:numId w:val="1005"/>
        </w:numPr>
      </w:pPr>
      <w:r>
        <w:t xml:space="preserve">Użytkownik może w każdej chwili usunąć konto, co skutkuje trwałym usunięciem danych.</w:t>
      </w:r>
    </w:p>
    <w:bookmarkEnd w:id="23"/>
    <w:bookmarkStart w:id="24" w:name="lokalizacja"/>
    <w:p>
      <w:pPr>
        <w:pStyle w:val="Heading2"/>
      </w:pPr>
      <w:r>
        <w:t xml:space="preserve">§5. Lokalizacja</w:t>
      </w:r>
    </w:p>
    <w:p>
      <w:pPr>
        <w:pStyle w:val="Compact"/>
        <w:numPr>
          <w:ilvl w:val="0"/>
          <w:numId w:val="1007"/>
        </w:numPr>
      </w:pPr>
      <w:r>
        <w:t xml:space="preserve">Aplikacja może wykorzystywać dane lokalizacyjne użytkownika w celu prezentowania ofert w pobliżu.</w:t>
      </w:r>
    </w:p>
    <w:p>
      <w:pPr>
        <w:pStyle w:val="Compact"/>
        <w:numPr>
          <w:ilvl w:val="0"/>
          <w:numId w:val="1007"/>
        </w:numPr>
      </w:pPr>
      <w:r>
        <w:t xml:space="preserve">Użytkownik może w każdej chwili odmówić dostępu do lokalizacji lub ją wyłączyć.</w:t>
      </w:r>
    </w:p>
    <w:p>
      <w:pPr>
        <w:pStyle w:val="Compact"/>
        <w:numPr>
          <w:ilvl w:val="0"/>
          <w:numId w:val="1007"/>
        </w:numPr>
      </w:pPr>
      <w:r>
        <w:t xml:space="preserve">Brak zgody na lokalizację nie blokuje korzystania z Aplikacji.</w:t>
      </w:r>
    </w:p>
    <w:bookmarkEnd w:id="24"/>
    <w:bookmarkStart w:id="25" w:name="konta-biznesowe"/>
    <w:p>
      <w:pPr>
        <w:pStyle w:val="Heading2"/>
      </w:pPr>
      <w:r>
        <w:t xml:space="preserve">§6. Konta biznesowe</w:t>
      </w:r>
    </w:p>
    <w:p>
      <w:pPr>
        <w:pStyle w:val="Compact"/>
        <w:numPr>
          <w:ilvl w:val="0"/>
          <w:numId w:val="1008"/>
        </w:numPr>
      </w:pPr>
      <w:r>
        <w:t xml:space="preserve">W fazie BETA biznesy mogą zakładać konta w celu testowania funkcji dodawania ofert.</w:t>
      </w:r>
    </w:p>
    <w:p>
      <w:pPr>
        <w:pStyle w:val="Compact"/>
        <w:numPr>
          <w:ilvl w:val="0"/>
          <w:numId w:val="1008"/>
        </w:numPr>
      </w:pPr>
      <w:r>
        <w:t xml:space="preserve">Wymagane dane biznesu:</w:t>
      </w:r>
    </w:p>
    <w:p>
      <w:pPr>
        <w:pStyle w:val="Compact"/>
        <w:numPr>
          <w:ilvl w:val="1"/>
          <w:numId w:val="1009"/>
        </w:numPr>
      </w:pPr>
      <w:r>
        <w:t xml:space="preserve">nazwa biznesu,</w:t>
      </w:r>
    </w:p>
    <w:p>
      <w:pPr>
        <w:pStyle w:val="Compact"/>
        <w:numPr>
          <w:ilvl w:val="1"/>
          <w:numId w:val="1009"/>
        </w:numPr>
      </w:pPr>
      <w:r>
        <w:t xml:space="preserve">adres,</w:t>
      </w:r>
    </w:p>
    <w:p>
      <w:pPr>
        <w:pStyle w:val="Compact"/>
        <w:numPr>
          <w:ilvl w:val="1"/>
          <w:numId w:val="1009"/>
        </w:numPr>
      </w:pPr>
      <w:r>
        <w:t xml:space="preserve">numer NIP (wyłącznie do celów identyfikacyjnych i przyszłych rozliczeń).</w:t>
      </w:r>
    </w:p>
    <w:p>
      <w:pPr>
        <w:pStyle w:val="Compact"/>
        <w:numPr>
          <w:ilvl w:val="0"/>
          <w:numId w:val="1008"/>
        </w:numPr>
      </w:pPr>
      <w:r>
        <w:t xml:space="preserve">Numer NIP nie jest widoczny dla użytkowników końcowych.</w:t>
      </w:r>
    </w:p>
    <w:p>
      <w:pPr>
        <w:pStyle w:val="Compact"/>
        <w:numPr>
          <w:ilvl w:val="0"/>
          <w:numId w:val="1008"/>
        </w:numPr>
      </w:pPr>
      <w:r>
        <w:t xml:space="preserve">Dane biznesowe są widoczne dla użytkowników w zakresie nazwy, adresu i opisu.</w:t>
      </w:r>
    </w:p>
    <w:bookmarkEnd w:id="25"/>
    <w:bookmarkStart w:id="26" w:name="faza-beta-i-przyszłe-płatności"/>
    <w:p>
      <w:pPr>
        <w:pStyle w:val="Heading2"/>
      </w:pPr>
      <w:r>
        <w:t xml:space="preserve">§7. Faza BETA i przyszłe płatności</w:t>
      </w:r>
    </w:p>
    <w:p>
      <w:pPr>
        <w:pStyle w:val="Compact"/>
        <w:numPr>
          <w:ilvl w:val="0"/>
          <w:numId w:val="1010"/>
        </w:numPr>
      </w:pPr>
      <w:r>
        <w:t xml:space="preserve">Wszystkie funkcje Aplikacji w fazie BETA są nieodpłatne.</w:t>
      </w:r>
    </w:p>
    <w:p>
      <w:pPr>
        <w:pStyle w:val="Compact"/>
        <w:numPr>
          <w:ilvl w:val="0"/>
          <w:numId w:val="1010"/>
        </w:numPr>
      </w:pPr>
      <w:r>
        <w:t xml:space="preserve">Administrator zastrzega możliwość wprowadzenia płatności po zakończeniu fazy BETA.</w:t>
      </w:r>
    </w:p>
    <w:p>
      <w:pPr>
        <w:pStyle w:val="Compact"/>
        <w:numPr>
          <w:ilvl w:val="0"/>
          <w:numId w:val="1010"/>
        </w:numPr>
      </w:pPr>
      <w:r>
        <w:t xml:space="preserve">O zakończeniu fazy BETA oraz planowanym uruchomieniu płatności biznesy zostaną poinformowane z co najmniej</w:t>
      </w:r>
      <w:r>
        <w:t xml:space="preserve"> </w:t>
      </w:r>
      <w:r>
        <w:rPr>
          <w:b/>
          <w:bCs/>
        </w:rPr>
        <w:t xml:space="preserve">7-dniowym wyprzedzeniem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Płatności nie zostaną uruchomione bez powołania podmiotu prawnego.</w:t>
      </w:r>
    </w:p>
    <w:bookmarkEnd w:id="26"/>
    <w:bookmarkStart w:id="27" w:name="odpowiedzialność"/>
    <w:p>
      <w:pPr>
        <w:pStyle w:val="Heading2"/>
      </w:pPr>
      <w:r>
        <w:t xml:space="preserve">§8. Odpowiedzialność</w:t>
      </w:r>
    </w:p>
    <w:p>
      <w:pPr>
        <w:pStyle w:val="Compact"/>
        <w:numPr>
          <w:ilvl w:val="0"/>
          <w:numId w:val="1011"/>
        </w:numPr>
      </w:pPr>
      <w:r>
        <w:t xml:space="preserve">Aplikacja jest udostępniana w formule „as is”.</w:t>
      </w:r>
    </w:p>
    <w:p>
      <w:pPr>
        <w:pStyle w:val="Compact"/>
        <w:numPr>
          <w:ilvl w:val="0"/>
          <w:numId w:val="1011"/>
        </w:numPr>
      </w:pPr>
      <w:r>
        <w:t xml:space="preserve">Administrator nie gwarantuje ciągłości działania ani kompletności danych.</w:t>
      </w:r>
    </w:p>
    <w:p>
      <w:pPr>
        <w:pStyle w:val="Compact"/>
        <w:numPr>
          <w:ilvl w:val="0"/>
          <w:numId w:val="1011"/>
        </w:numPr>
      </w:pPr>
      <w:r>
        <w:t xml:space="preserve">Administrator nie ponosi odpowiedzialności za treść ofert publikowanych przez biznesy.</w:t>
      </w:r>
    </w:p>
    <w:bookmarkEnd w:id="27"/>
    <w:bookmarkStart w:id="28" w:name="reklamacje-i-kontakt"/>
    <w:p>
      <w:pPr>
        <w:pStyle w:val="Heading2"/>
      </w:pPr>
      <w:r>
        <w:t xml:space="preserve">§9. Reklamacje i kontakt</w:t>
      </w:r>
    </w:p>
    <w:p>
      <w:pPr>
        <w:pStyle w:val="Compact"/>
        <w:numPr>
          <w:ilvl w:val="0"/>
          <w:numId w:val="1012"/>
        </w:numPr>
      </w:pPr>
      <w:r>
        <w:t xml:space="preserve">Wszelkie uwagi i reklamacje można zgłaszać na adres:</w:t>
      </w:r>
      <w:r>
        <w:t xml:space="preserve"> </w:t>
      </w:r>
      <w:r>
        <w:rPr>
          <w:b/>
          <w:bCs/>
        </w:rPr>
        <w:t xml:space="preserve">kontakt@pedro.app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Administrator dołoży starań, aby odpowiedzieć w rozsądnym terminie.</w:t>
      </w:r>
    </w:p>
    <w:bookmarkEnd w:id="28"/>
    <w:bookmarkStart w:id="29" w:name="postanowienia-końcowe"/>
    <w:p>
      <w:pPr>
        <w:pStyle w:val="Heading2"/>
      </w:pPr>
      <w:r>
        <w:t xml:space="preserve">§10. Postanowienia końcowe</w:t>
      </w:r>
    </w:p>
    <w:p>
      <w:pPr>
        <w:pStyle w:val="Compact"/>
        <w:numPr>
          <w:ilvl w:val="0"/>
          <w:numId w:val="1013"/>
        </w:numPr>
      </w:pPr>
      <w:r>
        <w:t xml:space="preserve">Regulamin może być zmieniany w trakcie fazy BETA.</w:t>
      </w:r>
    </w:p>
    <w:p>
      <w:pPr>
        <w:pStyle w:val="Compact"/>
        <w:numPr>
          <w:ilvl w:val="0"/>
          <w:numId w:val="1013"/>
        </w:numPr>
      </w:pPr>
      <w:r>
        <w:t xml:space="preserve">O istotnych zmianach użytkownicy zostaną poinformowani.</w:t>
      </w:r>
    </w:p>
    <w:p>
      <w:pPr>
        <w:pStyle w:val="Compact"/>
        <w:numPr>
          <w:ilvl w:val="0"/>
          <w:numId w:val="1013"/>
        </w:numPr>
      </w:pPr>
      <w:r>
        <w:t xml:space="preserve">W sprawach nieuregulowanych zastosowanie ma prawo polskie.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2026-01-02T09:17:37Z</dcterms:created>
  <dcterms:modified xsi:type="dcterms:W3CDTF">2026-01-02T09:17:37Z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