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Heiti SC"/>
          <w:color w:val="2E74B5"/>
          <w:sz w:val="32"/>
        </w:rPr>
        <w:t>Qinglan Supplier Agreement Summary</w:t>
      </w:r>
    </w:p>
    <w:p>
      <w:r>
        <w:rPr>
          <w:rFonts w:ascii="Calibri" w:hAnsi="Calibri" w:eastAsia="Heiti SC"/>
          <w:sz w:val="22"/>
        </w:rPr>
        <w:t>Qiming Manufacturing is the primary supplier for Project Qinglan under contract QL-2026-017. The first delivery contains 320 units, is due at Warehouse 2 in Suzhou Industrial Park, and must arrive no later than September 30, 2026.</w:t>
      </w:r>
    </w:p>
    <w:p>
      <w:r>
        <w:rPr>
          <w:rFonts w:ascii="Calibri" w:hAnsi="Calibri" w:eastAsia="Heiti SC"/>
          <w:sz w:val="22"/>
        </w:rPr>
        <w:t>The quality inspection sample is 8 percent. If the defect rate exceeds 2 percent, the supplier must submit a corrective-action report within 5 business days and pay all reinspection costs.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Qinglan Supplier Agreement Summary</dc:title>
  <dc:subject/>
  <dc:creator>GraphRAG Studio synthetic evaluation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