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Heiti SC"/>
          <w:color w:val="2E74B5"/>
          <w:sz w:val="32"/>
        </w:rPr>
        <w:t>Starbridge Research Plan</w:t>
      </w:r>
    </w:p>
    <w:p>
      <w:r>
        <w:rPr>
          <w:rFonts w:ascii="Calibri" w:hAnsi="Calibri" w:eastAsia="Heiti SC"/>
          <w:sz w:val="22"/>
        </w:rPr>
        <w:t>The Starbridge research plan studies multilingual knowledge graphs and is led by the Chenghai University AI Center. It uses BAAI/bge-m3 for embeddings, BAAI/bge-reranker-v2-m3 for reranking, and Neo4j as the graph database.</w:t>
      </w:r>
    </w:p>
    <w:p>
      <w:r>
        <w:rPr>
          <w:rFonts w:ascii="Calibri" w:hAnsi="Calibri" w:eastAsia="Heiti SC"/>
          <w:sz w:val="22"/>
        </w:rPr>
        <w:t>The research sample includes Chinese, English, and Spanish. Its blind evaluation contains 50 questions, and the new engine must win or tie on at least 80 percent of them.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Starbridge Research Plan</dc:title>
  <dc:subject/>
  <dc:creator>GraphRAG Studio synthetic evaluation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