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</w:p>
    <w:p>
      <w:pPr>
        <w:pStyle w:val="BodyText"/>
      </w:pPr>
      <w:r>
        <w:t xml:space="preserve">The basic idea here is that, if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reachable from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by reflecting at 0, then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θ</m:t>
            </m:r>
          </m:e>
          <m:sub>
            <m:r>
              <m:t>1</m:t>
            </m:r>
          </m:sub>
        </m:sSub>
        <m:r>
          <m:t>&lt;</m:t>
        </m:r>
        <m:r>
          <m:t>δ</m:t>
        </m:r>
      </m:oMath>
      <w:r>
        <w:t xml:space="preserve">, which also means that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reachable from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by reflecting at 0. Similarly, if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cannot be reached by reflection from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θ</m:t>
            </m:r>
          </m:e>
          <m:sub>
            <m:r>
              <m:t>1</m:t>
            </m:r>
          </m:sub>
        </m:sSub>
        <m:r>
          <m:t>≥</m:t>
        </m:r>
        <m:r>
          <m:t>δ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also cannot be reached by reflection from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. Therefore, the associated proposal density is</w:t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t>(</m:t>
          </m:r>
          <m:sSub>
            <m:e>
              <m:r>
                <m:t>θ</m:t>
              </m:r>
            </m:e>
            <m:sub>
              <m:r>
                <m:t>1</m:t>
              </m:r>
            </m:sub>
          </m:sSub>
          <m:r>
            <m:t>∣</m:t>
          </m:r>
          <m:sSub>
            <m:e>
              <m:r>
                <m:t>θ</m:t>
              </m:r>
            </m:e>
            <m:sub>
              <m:r>
                <m:t>0</m:t>
              </m:r>
            </m:sub>
          </m:sSub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/</m:t>
                    </m:r>
                    <m:r>
                      <m:t>(</m:t>
                    </m:r>
                    <m:r>
                      <m:t>2</m:t>
                    </m:r>
                    <m:r>
                      <m:t>δ</m:t>
                    </m:r>
                    <m:r>
                      <m:t>)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≥</m:t>
                    </m:r>
                    <m:r>
                      <m:t>δ</m:t>
                    </m:r>
                  </m:e>
                </m:mr>
                <m:mr>
                  <m:e>
                    <m:r>
                      <m:t>1</m:t>
                    </m:r>
                    <m:r>
                      <m:t>/</m:t>
                    </m:r>
                    <m:r>
                      <m:t>δ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+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&lt;</m:t>
                    </m:r>
                    <m:r>
                      <m:t>δ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We can see that the position of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θ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 this proposal density is exchangeable, which directly leads to the fact that this is a symmetric proposal distribution.</w:t>
      </w:r>
    </w:p>
    <w:p>
      <w:pPr>
        <w:pStyle w:val="BodyText"/>
      </w:pPr>
      <w:r>
        <w:t xml:space="preserve">\end{document}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8f19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2018-11-20T02:15:53Z</dcterms:created>
  <dcterms:modified xsi:type="dcterms:W3CDTF">2018-11-20T02:15:53Z</dcterms:modified>
</cp:coreProperties>
</file>