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Infrastructure &amp; Cloud Cost Estimate</w:t>
      </w:r>
    </w:p>
    <w:p>
      <w:pPr>
        <w:pStyle w:val="Subtitle"/>
        <w:rPr/>
      </w:pPr>
      <w:r>
        <w:rPr/>
        <w:t>One accounting/tax firm • 10 clients at launch, up to 100 clients</w:t>
      </w:r>
    </w:p>
    <w:p>
      <w:pPr>
        <w:pStyle w:val="Normal"/>
        <w:rPr/>
      </w:pPr>
      <w:r>
        <w:rPr/>
        <w:t>Prepared 6 October 2026 • CAD • Before applicable taxes • Planning estimate</w:t>
      </w:r>
    </w:p>
    <w:p>
      <w:pPr>
        <w:pStyle w:val="Heading1"/>
        <w:rPr/>
      </w:pPr>
      <w:r>
        <w:rPr/>
        <w:t>Recommended operating budget</w:t>
      </w:r>
    </w:p>
    <w:p>
      <w:pPr>
        <w:pStyle w:val="Normal"/>
        <w:rPr/>
      </w:pPr>
      <w:r>
        <w:rPr/>
        <w:t>Plan approximately CA$75 per month at launch and CA$110 per month at the 100-client stage for infrastructure, including a 20% contingency and rounding. For cash-flow planning, reserve CA$100–150 per month to accommodate usage fluctuations or a resource upgrade. The reserve is not an additional charge on top of the estimated bill.</w:t>
      </w:r>
    </w:p>
    <w:p>
      <w:pPr>
        <w:pStyle w:val="Normal"/>
        <w:rPr/>
      </w:pPr>
      <w:r>
        <w:rPr/>
        <w:t>This estimate is for one production environment allocated to one firm. It excludes the TaxServices licence/subscription, developer maintenance, implementation labour, business email mailboxes and payment-processing fees. It does not assume free trial credits, reserved commitments or shared cost subsidies from other firms.</w:t>
      </w:r>
    </w:p>
    <w:p>
      <w:pPr>
        <w:pStyle w:val="Heading1"/>
        <w:rPr/>
      </w:pPr>
      <w:r>
        <w:rPr/>
        <w:t>1. Planning assumptions</w:t>
      </w:r>
    </w:p>
    <w:tbl>
      <w:tblPr>
        <w:tblStyle w:val="LightShading-Accent1"/>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Assumption</w:t>
            </w:r>
          </w:p>
        </w:tc>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Launch</w:t>
            </w:r>
          </w:p>
        </w:tc>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Growth stage</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Registered clients</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10</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100</w:t>
            </w:r>
          </w:p>
        </w:tc>
      </w:tr>
      <w:tr>
        <w:trPr/>
        <w:tc>
          <w:tcPr>
            <w:tcW w:w="288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Staff users</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1–3</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2–5</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Peak active users at one time</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Up to 3</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Up to 10</w:t>
            </w:r>
          </w:p>
        </w:tc>
      </w:tr>
      <w:tr>
        <w:trPr/>
        <w:tc>
          <w:tcPr>
            <w:tcW w:w="288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Document assumption</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40 files/client × 3 MB average</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Same assumption</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Primary documents</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Approximately 1.2 GB</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Approximately 12 GB</w:t>
            </w:r>
          </w:p>
        </w:tc>
      </w:tr>
      <w:tr>
        <w:trPr/>
        <w:tc>
          <w:tcPr>
            <w:tcW w:w="288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Storage planning envelope</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 GB</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25 GB</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Transactional emails per month</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300</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2,000</w:t>
            </w:r>
          </w:p>
        </w:tc>
      </w:tr>
      <w:tr>
        <w:trPr/>
        <w:tc>
          <w:tcPr>
            <w:tcW w:w="288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Outbound document/API traffic</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 GB/month</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25 GB/month</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Database data, excluding files</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Below 1 GB initially</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Below 5 GB initially</w:t>
            </w:r>
          </w:p>
        </w:tc>
      </w:tr>
      <w:tr>
        <w:trPr/>
        <w:tc>
          <w:tcPr>
            <w:tcW w:w="2880" w:type="dxa"/>
            <w:tcBorders>
              <w:top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Log ingestion target</w:t>
            </w:r>
          </w:p>
        </w:tc>
        <w:tc>
          <w:tcPr>
            <w:tcW w:w="288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Below 1 GB/month</w:t>
            </w:r>
          </w:p>
        </w:tc>
        <w:tc>
          <w:tcPr>
            <w:tcW w:w="288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Below 2 GB/month</w:t>
            </w:r>
          </w:p>
        </w:tc>
      </w:tr>
    </w:tbl>
    <w:p>
      <w:pPr>
        <w:pStyle w:val="Normal"/>
        <w:rPr/>
      </w:pPr>
      <w:r>
        <w:rPr/>
        <w:t>These are explicit planning assumptions, not measured usage or capacity guarantees. Storage envelopes allow room for new files and versions; supplementary recovery copies are budgeted separately. Multiple years of documents, large scans, bulk imports and verbose logs can change costs. Registered-client count alone does not determine capacity.</w:t>
      </w:r>
    </w:p>
    <w:p>
      <w:pPr>
        <w:pStyle w:val="Heading1"/>
        <w:rPr/>
      </w:pPr>
      <w:r>
        <w:rPr/>
        <w:t>2. Proposed deployment</w:t>
      </w:r>
    </w:p>
    <w:p>
      <w:pPr>
        <w:pStyle w:val="Normal"/>
        <w:rPr/>
      </w:pPr>
      <w:r>
        <w:rPr/>
        <w:t>Use Azure App Service on Linux for the .NET API, Azure SQL Database for relational data and Azure Blob Storage for encrypted documents. Use Canada Central for the regional application, database and storage resources, subject to service availability and deployment verification.</w:t>
      </w:r>
    </w:p>
    <w:p>
      <w:pPr>
        <w:pStyle w:val="Normal"/>
        <w:rPr/>
      </w:pPr>
      <w:r>
        <w:rPr/>
        <w:t>For the lowest-complexity initial layout, serve the built React frontend as static content from the same App Service application, alongside the API. This requires configuring the frontend build, static-file serving and SPA route fallback. The public site and client/staff portals remain available through the firm’s own domain. This is a proposed hosting layout, not a statement that the current source is already configured this way.</w:t>
      </w:r>
    </w:p>
    <w:p>
      <w:pPr>
        <w:pStyle w:val="Normal"/>
        <w:rPr/>
      </w:pPr>
      <w:r>
        <w:rPr/>
        <w:t>Use a transactional email provider for OTPs and account messages, a secret store such as Azure Key Vault, and controlled logging. This is one modest production stack without a continuously running duplicate staging stack, active-active application replicas or a cross-region failover deployment. Logical tenant isolation remains relevant if the platform later shares resources across firms.</w:t>
      </w:r>
    </w:p>
    <w:p>
      <w:pPr>
        <w:pStyle w:val="Heading1"/>
        <w:rPr/>
      </w:pPr>
      <w:r>
        <w:rPr/>
        <w:t>3. Monthly infrastructure estimate</w:t>
      </w:r>
    </w:p>
    <w:tbl>
      <w:tblPr>
        <w:tblStyle w:val="LightShading-Accent1"/>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Component</w:t>
            </w:r>
          </w:p>
        </w:tc>
        <w:tc>
          <w:tcPr>
            <w:tcW w:w="216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10 clients / month</w:t>
            </w:r>
          </w:p>
        </w:tc>
        <w:tc>
          <w:tcPr>
            <w:tcW w:w="216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100 clients / month</w:t>
            </w:r>
          </w:p>
        </w:tc>
        <w:tc>
          <w:tcPr>
            <w:tcW w:w="2159"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Basis</w:t>
            </w:r>
          </w:p>
        </w:tc>
      </w:tr>
      <w:tr>
        <w:trPr/>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C9211E"/>
                <w:kern w:val="0"/>
                <w:szCs w:val="22"/>
                <w:lang w:val="en-US" w:eastAsia="en-US" w:bidi="ar-SA"/>
              </w:rPr>
            </w:pPr>
            <w:r>
              <w:rPr>
                <w:rFonts w:eastAsia="ＭＳ 明朝" w:cs=""/>
                <w:b/>
                <w:bCs/>
                <w:color w:val="C9211E"/>
                <w:kern w:val="0"/>
                <w:szCs w:val="22"/>
                <w:lang w:val="en-US" w:eastAsia="en-US" w:bidi="ar-SA"/>
              </w:rPr>
              <w:t>API + React hosting</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C9211E"/>
                <w:kern w:val="0"/>
                <w:szCs w:val="22"/>
                <w:lang w:val="en-US" w:eastAsia="en-US" w:bidi="ar-SA"/>
              </w:rPr>
            </w:pPr>
            <w:r>
              <w:rPr>
                <w:rFonts w:eastAsia="ＭＳ 明朝" w:cs=""/>
                <w:color w:val="C9211E"/>
                <w:kern w:val="0"/>
                <w:szCs w:val="22"/>
                <w:lang w:val="en-US" w:eastAsia="en-US" w:bidi="ar-SA"/>
              </w:rPr>
              <w:t>CA$18.62</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C9211E"/>
                <w:kern w:val="0"/>
                <w:szCs w:val="22"/>
                <w:lang w:val="en-US" w:eastAsia="en-US" w:bidi="ar-SA"/>
              </w:rPr>
            </w:pPr>
            <w:r>
              <w:rPr>
                <w:rFonts w:eastAsia="ＭＳ 明朝" w:cs=""/>
                <w:color w:val="C9211E"/>
                <w:kern w:val="0"/>
                <w:szCs w:val="22"/>
                <w:lang w:val="en-US" w:eastAsia="en-US" w:bidi="ar-SA"/>
              </w:rPr>
              <w:t>CA$36.21</w:t>
            </w:r>
          </w:p>
        </w:tc>
        <w:tc>
          <w:tcPr>
            <w:tcW w:w="215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C9211E"/>
                <w:kern w:val="0"/>
                <w:szCs w:val="22"/>
                <w:lang w:val="en-US" w:eastAsia="en-US" w:bidi="ar-SA"/>
              </w:rPr>
            </w:pPr>
            <w:r>
              <w:rPr>
                <w:rFonts w:eastAsia="ＭＳ 明朝" w:cs=""/>
                <w:color w:val="C9211E"/>
                <w:kern w:val="0"/>
                <w:szCs w:val="22"/>
                <w:lang w:val="en-US" w:eastAsia="en-US" w:bidi="ar-SA"/>
              </w:rPr>
              <w:t>Verified CAD reference: Linux B1 at launch; B2 growth allowance</w:t>
            </w:r>
          </w:p>
        </w:tc>
      </w:tr>
      <w:tr>
        <w:trPr/>
        <w:tc>
          <w:tcPr>
            <w:tcW w:w="2160" w:type="dxa"/>
            <w:tcBorders>
              <w:top w:val="nil"/>
              <w:bottom w:val="nil"/>
            </w:tcBorders>
          </w:tcPr>
          <w:p>
            <w:pPr>
              <w:pStyle w:val="Normal"/>
              <w:widowControl/>
              <w:spacing w:lineRule="auto" w:line="240" w:before="0" w:after="0"/>
              <w:jc w:val="left"/>
              <w:rPr>
                <w:rFonts w:eastAsia="ＭＳ 明朝" w:cs=""/>
                <w:b/>
                <w:bCs/>
                <w:color w:val="C9211E"/>
                <w:kern w:val="0"/>
                <w:szCs w:val="22"/>
                <w:lang w:val="en-US" w:eastAsia="en-US" w:bidi="ar-SA"/>
              </w:rPr>
            </w:pPr>
            <w:r>
              <w:rPr>
                <w:rFonts w:eastAsia="ＭＳ 明朝" w:cs=""/>
                <w:b/>
                <w:bCs/>
                <w:color w:val="C9211E"/>
                <w:kern w:val="0"/>
                <w:szCs w:val="22"/>
                <w:lang w:val="en-US" w:eastAsia="en-US" w:bidi="ar-SA"/>
              </w:rPr>
              <w:t>Azure SQL Database</w:t>
            </w:r>
          </w:p>
        </w:tc>
        <w:tc>
          <w:tcPr>
            <w:tcW w:w="2160" w:type="dxa"/>
            <w:tcBorders>
              <w:top w:val="nil"/>
              <w:bottom w:val="nil"/>
            </w:tcBorders>
          </w:tcPr>
          <w:p>
            <w:pPr>
              <w:pStyle w:val="Normal"/>
              <w:widowControl/>
              <w:spacing w:lineRule="auto" w:line="240" w:before="0" w:after="0"/>
              <w:jc w:val="left"/>
              <w:rPr>
                <w:rFonts w:eastAsia="ＭＳ 明朝" w:cs=""/>
                <w:color w:val="C9211E"/>
                <w:kern w:val="0"/>
                <w:szCs w:val="22"/>
                <w:lang w:val="en-US" w:eastAsia="en-US" w:bidi="ar-SA"/>
              </w:rPr>
            </w:pPr>
            <w:r>
              <w:rPr>
                <w:rFonts w:eastAsia="ＭＳ 明朝" w:cs=""/>
                <w:color w:val="C9211E"/>
                <w:kern w:val="0"/>
                <w:szCs w:val="22"/>
                <w:lang w:val="en-US" w:eastAsia="en-US" w:bidi="ar-SA"/>
              </w:rPr>
              <w:t>CA$22.92</w:t>
            </w:r>
          </w:p>
        </w:tc>
        <w:tc>
          <w:tcPr>
            <w:tcW w:w="2160" w:type="dxa"/>
            <w:tcBorders>
              <w:top w:val="nil"/>
              <w:bottom w:val="nil"/>
            </w:tcBorders>
          </w:tcPr>
          <w:p>
            <w:pPr>
              <w:pStyle w:val="Normal"/>
              <w:widowControl/>
              <w:spacing w:lineRule="auto" w:line="240" w:before="0" w:after="0"/>
              <w:jc w:val="left"/>
              <w:rPr>
                <w:rFonts w:eastAsia="ＭＳ 明朝" w:cs=""/>
                <w:color w:val="C9211E"/>
                <w:kern w:val="0"/>
                <w:szCs w:val="22"/>
                <w:lang w:val="en-US" w:eastAsia="en-US" w:bidi="ar-SA"/>
              </w:rPr>
            </w:pPr>
            <w:r>
              <w:rPr>
                <w:rFonts w:eastAsia="ＭＳ 明朝" w:cs=""/>
                <w:color w:val="C9211E"/>
                <w:kern w:val="0"/>
                <w:szCs w:val="22"/>
                <w:lang w:val="en-US" w:eastAsia="en-US" w:bidi="ar-SA"/>
              </w:rPr>
              <w:t>CA$22.92</w:t>
            </w:r>
          </w:p>
        </w:tc>
        <w:tc>
          <w:tcPr>
            <w:tcW w:w="2159" w:type="dxa"/>
            <w:tcBorders>
              <w:top w:val="nil"/>
              <w:bottom w:val="nil"/>
            </w:tcBorders>
          </w:tcPr>
          <w:p>
            <w:pPr>
              <w:pStyle w:val="Normal"/>
              <w:widowControl/>
              <w:spacing w:lineRule="auto" w:line="240" w:before="0" w:after="0"/>
              <w:jc w:val="left"/>
              <w:rPr>
                <w:rFonts w:eastAsia="ＭＳ 明朝" w:cs=""/>
                <w:color w:val="C9211E"/>
                <w:kern w:val="0"/>
                <w:szCs w:val="22"/>
                <w:lang w:val="en-US" w:eastAsia="en-US" w:bidi="ar-SA"/>
              </w:rPr>
            </w:pPr>
            <w:r>
              <w:rPr>
                <w:rFonts w:eastAsia="ＭＳ 明朝" w:cs=""/>
                <w:color w:val="C9211E"/>
                <w:kern w:val="0"/>
                <w:szCs w:val="22"/>
                <w:lang w:val="en-US" w:eastAsia="en-US" w:bidi="ar-SA"/>
              </w:rPr>
              <w:t>Verified CAD reference: Standard S0, one database</w:t>
            </w:r>
          </w:p>
        </w:tc>
      </w:tr>
      <w:tr>
        <w:trPr/>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Blob content + storage operations</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CA$2.00</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CA$5.00</w:t>
            </w:r>
          </w:p>
        </w:tc>
        <w:tc>
          <w:tcPr>
            <w:tcW w:w="215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Planning allowance; 5/25 GB envelopes and light operations</w:t>
            </w:r>
          </w:p>
        </w:tc>
      </w:tr>
      <w:tr>
        <w:trPr/>
        <w:tc>
          <w:tcPr>
            <w:tcW w:w="216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Transactional email</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CA$1.00</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CA$3.00</w:t>
            </w:r>
          </w:p>
        </w:tc>
        <w:tc>
          <w:tcPr>
            <w:tcW w:w="2159"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Planning allowance; actual provider and regional rate to confirm</w:t>
            </w:r>
          </w:p>
        </w:tc>
      </w:tr>
      <w:tr>
        <w:trPr/>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Supplementary recovery storage</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CA$3.00</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CA$6.00</w:t>
            </w:r>
          </w:p>
        </w:tc>
        <w:tc>
          <w:tcPr>
            <w:tcW w:w="215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Allowance for copies/versions; restore labour excluded</w:t>
            </w:r>
          </w:p>
        </w:tc>
      </w:tr>
      <w:tr>
        <w:trPr/>
        <w:tc>
          <w:tcPr>
            <w:tcW w:w="216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Logging and monitoring</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CA$3.00</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CA$8.00</w:t>
            </w:r>
          </w:p>
        </w:tc>
        <w:tc>
          <w:tcPr>
            <w:tcW w:w="2159"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Allowance; sampling and retention limits required</w:t>
            </w:r>
          </w:p>
        </w:tc>
      </w:tr>
      <w:tr>
        <w:trPr/>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Secret-store operations</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CA$1.00</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CA$2.00</w:t>
            </w:r>
          </w:p>
        </w:tc>
        <w:tc>
          <w:tcPr>
            <w:tcW w:w="215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Allowance for standard secrets; premium HSM excluded</w:t>
            </w:r>
          </w:p>
        </w:tc>
      </w:tr>
      <w:tr>
        <w:trPr/>
        <w:tc>
          <w:tcPr>
            <w:tcW w:w="216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Network usage / transfer</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CA$2.00</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CA$5.00</w:t>
            </w:r>
          </w:p>
        </w:tc>
        <w:tc>
          <w:tcPr>
            <w:tcW w:w="2159"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Conservative allowance; no assumed free-transfer credit</w:t>
            </w:r>
          </w:p>
        </w:tc>
      </w:tr>
      <w:tr>
        <w:trPr/>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Domain + basic DNS</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CA$3.00</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CA$3.00</w:t>
            </w:r>
          </w:p>
        </w:tc>
        <w:tc>
          <w:tcPr>
            <w:tcW w:w="215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CA$36/year planning allowance; registrar price unverified</w:t>
            </w:r>
          </w:p>
        </w:tc>
      </w:tr>
      <w:tr>
        <w:trPr/>
        <w:tc>
          <w:tcPr>
            <w:tcW w:w="216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Managed HTTPS certificates</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CA$0.00</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CA$0.00</w:t>
            </w:r>
          </w:p>
        </w:tc>
        <w:tc>
          <w:tcPr>
            <w:tcW w:w="2159"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Assumes eligible free managed certificates; paid certificates excluded</w:t>
            </w:r>
          </w:p>
        </w:tc>
      </w:tr>
      <w:tr>
        <w:trPr/>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Estimated subtotal</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CA$56.54</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CA$91.13</w:t>
            </w:r>
          </w:p>
        </w:tc>
        <w:tc>
          <w:tcPr>
            <w:tcW w:w="215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r>
      <w:tr>
        <w:trPr/>
        <w:tc>
          <w:tcPr>
            <w:tcW w:w="216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20% contingency</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CA$11.31</w:t>
            </w:r>
          </w:p>
        </w:tc>
        <w:tc>
          <w:tcPr>
            <w:tcW w:w="216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CA$18.23</w:t>
            </w:r>
          </w:p>
        </w:tc>
        <w:tc>
          <w:tcPr>
            <w:tcW w:w="2159"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r>
      <w:tr>
        <w:trPr/>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Total before rounding</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CA$67.85</w:t>
            </w:r>
          </w:p>
        </w:tc>
        <w:tc>
          <w:tcPr>
            <w:tcW w:w="216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CA$109.36</w:t>
            </w:r>
          </w:p>
        </w:tc>
        <w:tc>
          <w:tcPr>
            <w:tcW w:w="215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r>
      <w:tr>
        <w:trPr/>
        <w:tc>
          <w:tcPr>
            <w:tcW w:w="2160" w:type="dxa"/>
            <w:tcBorders>
              <w:top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Recommended rounded budget</w:t>
            </w:r>
          </w:p>
        </w:tc>
        <w:tc>
          <w:tcPr>
            <w:tcW w:w="216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CA$75.00</w:t>
            </w:r>
          </w:p>
        </w:tc>
        <w:tc>
          <w:tcPr>
            <w:tcW w:w="216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CA$110.00</w:t>
            </w:r>
          </w:p>
        </w:tc>
        <w:tc>
          <w:tcPr>
            <w:tcW w:w="2159"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r>
          </w:p>
        </w:tc>
      </w:tr>
    </w:tbl>
    <w:p>
      <w:pPr>
        <w:pStyle w:val="Normal"/>
        <w:rPr/>
      </w:pPr>
      <w:r>
        <w:rPr/>
        <w:t>Fixed-rate calculations use 730 hours/month for App Service and 365/12 days/month for SQL. B1: 0.0255 × 730 = CA$18.615. B2: 0.0496 × 730 = CA$36.208. S0: 0.7536 × (365/12) = CA$22.922. Monthly bills vary with calendar length. All other nonzero items are budget allowances rather than verified line-item quotations.</w:t>
      </w:r>
    </w:p>
    <w:p>
      <w:pPr>
        <w:pStyle w:val="Normal"/>
        <w:rPr/>
      </w:pPr>
      <w:r>
        <w:rPr/>
        <w:t>B2 is a conservative growth provision, not a mandatory upgrade at 100 clients. If B1 performs adequately, it saves about CA$17.59/month before contingency, reducing the growth budget to approximately CA$90/month. SQL S0 is also a starting provision rather than a performance guarantee; load-test the actual queries and document encryption/download paths.</w:t>
      </w:r>
    </w:p>
    <w:p>
      <w:pPr>
        <w:pStyle w:val="Heading1"/>
        <w:rPr/>
      </w:pPr>
      <w:r>
        <w:rPr/>
        <w:t>4. Annual and growth examples</w:t>
      </w:r>
    </w:p>
    <w:tbl>
      <w:tblPr>
        <w:tblStyle w:val="LightShading-Accent1"/>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Scenario</w:t>
            </w:r>
          </w:p>
        </w:tc>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Calculation</w:t>
            </w:r>
          </w:p>
        </w:tc>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Infrastructure budget</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Launch configuration for a full year</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12 × CA$75</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CA$900/year</w:t>
            </w:r>
          </w:p>
        </w:tc>
      </w:tr>
      <w:tr>
        <w:trPr/>
        <w:tc>
          <w:tcPr>
            <w:tcW w:w="288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Growth configuration for a full year</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12 × CA$110</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CA$1,320/year</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Illustrative 12-month ramp</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 × CA$75 + 3 × CA$90 + 6 × CA$110</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CA$1,155/year</w:t>
            </w:r>
          </w:p>
        </w:tc>
      </w:tr>
      <w:tr>
        <w:trPr/>
        <w:tc>
          <w:tcPr>
            <w:tcW w:w="2880" w:type="dxa"/>
            <w:tcBorders>
              <w:top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Oct–Dec 2026 illustration</w:t>
            </w:r>
          </w:p>
        </w:tc>
        <w:tc>
          <w:tcPr>
            <w:tcW w:w="288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October CA$75 + November CA$90 + December CA$110</w:t>
            </w:r>
          </w:p>
        </w:tc>
        <w:tc>
          <w:tcPr>
            <w:tcW w:w="288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CA$275 for three full months</w:t>
            </w:r>
          </w:p>
        </w:tc>
      </w:tr>
    </w:tbl>
    <w:p>
      <w:pPr>
        <w:pStyle w:val="Normal"/>
        <w:rPr/>
      </w:pPr>
      <w:r>
        <w:rPr/>
        <w:t>The 12-month ramp is an illustration, not a forecast of your client acquisition. The October–December example assumes full months; an actual launch partway through October changes the bill. Domain registration is usually paid annually even though the monthly table spreads its allowance across the year. Do not add the annual domain charge again to these totals.</w:t>
      </w:r>
    </w:p>
    <w:p>
      <w:pPr>
        <w:pStyle w:val="Heading1"/>
        <w:rPr/>
      </w:pPr>
      <w:r>
        <w:rPr/>
        <w:t>5. Stripe fees: separate from hosting</w:t>
      </w:r>
    </w:p>
    <w:p>
      <w:pPr>
        <w:pStyle w:val="Normal"/>
        <w:rPr/>
      </w:pPr>
      <w:r>
        <w:rPr/>
        <w:t>Stripe’s published Canadian standard domestic-card rate checked on 6 October 2026 is 2.9% + CA$0.30 per successful transaction. Fee = amount charged × 0.029 + CA$0.30. International cards, currency conversion, disputes and optional Stripe products can add costs. Applicable taxes and account-specific pricing are not included in these examples.</w:t>
      </w:r>
    </w:p>
    <w:tbl>
      <w:tblPr>
        <w:tblStyle w:val="LightShading-Accent1"/>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Example</w:t>
            </w:r>
          </w:p>
        </w:tc>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Calculation</w:t>
            </w:r>
          </w:p>
        </w:tc>
        <w:tc>
          <w:tcPr>
            <w:tcW w:w="2880" w:type="dxa"/>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Processing fees</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One CA$300 charge</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300 × 2.9% + 0.30</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CA$9.00</w:t>
            </w:r>
          </w:p>
        </w:tc>
      </w:tr>
      <w:tr>
        <w:trPr/>
        <w:tc>
          <w:tcPr>
            <w:tcW w:w="2880" w:type="dxa"/>
            <w:tcBorders>
              <w:top w:val="nil"/>
              <w:bottom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10 clients, one CA$300 charge each per year</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10 × CA$9</w:t>
            </w:r>
          </w:p>
        </w:tc>
        <w:tc>
          <w:tcPr>
            <w:tcW w:w="2880" w:type="dxa"/>
            <w:tcBorders>
              <w:top w:val="nil"/>
              <w:bottom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CA$90/year</w:t>
            </w:r>
          </w:p>
        </w:tc>
      </w:tr>
      <w:tr>
        <w:trPr/>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100 clients, one CA$300 charge each per year</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100 × CA$9</w:t>
            </w:r>
          </w:p>
        </w:tc>
        <w:tc>
          <w:tcPr>
            <w:tcW w:w="288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CA$900/year</w:t>
            </w:r>
          </w:p>
        </w:tc>
      </w:tr>
      <w:tr>
        <w:trPr/>
        <w:tc>
          <w:tcPr>
            <w:tcW w:w="2880" w:type="dxa"/>
            <w:tcBorders>
              <w:top w:val="nil"/>
            </w:tcBorders>
          </w:tcPr>
          <w:p>
            <w:pPr>
              <w:pStyle w:val="Normal"/>
              <w:widowControl/>
              <w:spacing w:lineRule="auto" w:line="240" w:before="0" w:after="0"/>
              <w:jc w:val="left"/>
              <w:rPr>
                <w:rFonts w:eastAsia="ＭＳ 明朝" w:cs=""/>
                <w:b/>
                <w:bCs/>
                <w:color w:val="365F91"/>
                <w:kern w:val="0"/>
                <w:szCs w:val="22"/>
                <w:lang w:val="en-US" w:eastAsia="en-US" w:bidi="ar-SA"/>
              </w:rPr>
            </w:pPr>
            <w:r>
              <w:rPr>
                <w:rFonts w:eastAsia="ＭＳ 明朝" w:cs=""/>
                <w:b/>
                <w:bCs/>
                <w:color w:val="365F91"/>
                <w:kern w:val="0"/>
                <w:szCs w:val="22"/>
                <w:lang w:val="en-US" w:eastAsia="en-US" w:bidi="ar-SA"/>
              </w:rPr>
              <w:t>20 CA$300 transactions in one month</w:t>
            </w:r>
          </w:p>
        </w:tc>
        <w:tc>
          <w:tcPr>
            <w:tcW w:w="288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20 × CA$9</w:t>
            </w:r>
          </w:p>
        </w:tc>
        <w:tc>
          <w:tcPr>
            <w:tcW w:w="2880" w:type="dxa"/>
            <w:tcBorders>
              <w:top w:val="nil"/>
            </w:tcBorders>
          </w:tcPr>
          <w:p>
            <w:pPr>
              <w:pStyle w:val="Normal"/>
              <w:widowControl/>
              <w:spacing w:lineRule="auto" w:line="240" w:before="0" w:after="0"/>
              <w:jc w:val="left"/>
              <w:rPr>
                <w:rFonts w:eastAsia="ＭＳ 明朝" w:cs=""/>
                <w:color w:val="365F91"/>
                <w:kern w:val="0"/>
                <w:szCs w:val="22"/>
                <w:lang w:val="en-US" w:eastAsia="en-US" w:bidi="ar-SA"/>
              </w:rPr>
            </w:pPr>
            <w:r>
              <w:rPr>
                <w:rFonts w:eastAsia="ＭＳ 明朝" w:cs=""/>
                <w:color w:val="365F91"/>
                <w:kern w:val="0"/>
                <w:szCs w:val="22"/>
                <w:lang w:val="en-US" w:eastAsia="en-US" w:bidi="ar-SA"/>
              </w:rPr>
              <w:t>CA$180 that month</w:t>
            </w:r>
          </w:p>
        </w:tc>
      </w:tr>
    </w:tbl>
    <w:p>
      <w:pPr>
        <w:pStyle w:val="Normal"/>
        <w:rPr/>
      </w:pPr>
      <w:r>
        <w:rPr/>
        <w:t>These examples do not assume that every registered client pays every month. Calculate fees using the actual amount charged, including tax when tax is collected in the transaction. Using TaxServices invoice records with Stripe Payments does not itself require adopting Stripe Invoicing, Billing or Tax; fees for those products are excluded and depend on the final integration.</w:t>
      </w:r>
    </w:p>
    <w:p>
      <w:pPr>
        <w:pStyle w:val="Heading1"/>
        <w:rPr/>
      </w:pPr>
      <w:r>
        <w:rPr/>
        <w:t>6. Implementation, support and exclusions</w:t>
      </w:r>
    </w:p>
    <w:p>
      <w:pPr>
        <w:pStyle w:val="Normal"/>
        <w:rPr/>
      </w:pPr>
      <w:r>
        <w:rPr/>
        <w:t>One-time setup labour is separate. A planning scope includes deployment configuration, frontend routing, domain/TLS, database migration, private storage, secret configuration, email-domain setup, budget alerts and a tested restore. An illustrative allowance is 8–16 hours × CA$75/hour = CA$600–1,200. This is an internal estimating assumption, not an agreed quotation or verified market rate. Completing missing features or resolving compatibility problems can require additional work.</w:t>
      </w:r>
    </w:p>
    <w:p>
      <w:pPr>
        <w:pStyle w:val="Normal"/>
        <w:rPr/>
      </w:pPr>
      <w:r>
        <w:rPr/>
        <w:t>Optional ongoing care: provision 1–2 hours/month for deployments, monitoring review, patching and recovery checks. At the same illustrative CA$75/hour this is CA$75–150/month, separate from infrastructure. No staffed support or response-time commitment is included in the CA$75–110 cloud budget.</w:t>
      </w:r>
    </w:p>
    <w:p>
      <w:pPr>
        <w:pStyle w:val="ListBullet"/>
        <w:numPr>
          <w:ilvl w:val="0"/>
          <w:numId w:val="1"/>
        </w:numPr>
        <w:rPr/>
      </w:pPr>
      <w:r>
        <w:rPr/>
        <w:t>Software sale price, subscription, development and feature completion.</w:t>
      </w:r>
    </w:p>
    <w:p>
      <w:pPr>
        <w:pStyle w:val="ListBullet"/>
        <w:numPr>
          <w:ilvl w:val="0"/>
          <w:numId w:val="1"/>
        </w:numPr>
        <w:rPr/>
      </w:pPr>
      <w:r>
        <w:rPr/>
        <w:t>Data migration, training, penetration testing, legal/privacy review and compliance certification.</w:t>
      </w:r>
    </w:p>
    <w:p>
      <w:pPr>
        <w:pStyle w:val="ListBullet"/>
        <w:numPr>
          <w:ilvl w:val="0"/>
          <w:numId w:val="1"/>
        </w:numPr>
        <w:rPr/>
      </w:pPr>
      <w:r>
        <w:rPr/>
        <w:t>Staff Microsoft 365/Google Workspace mailboxes; transactional application email is a different service.</w:t>
      </w:r>
    </w:p>
    <w:p>
      <w:pPr>
        <w:pStyle w:val="ListBullet"/>
        <w:numPr>
          <w:ilvl w:val="0"/>
          <w:numId w:val="1"/>
        </w:numPr>
        <w:rPr/>
      </w:pPr>
      <w:r>
        <w:rPr/>
        <w:t>SMS authentication, malware scanning, OCR/AI processing and third-party signature services.</w:t>
      </w:r>
    </w:p>
    <w:p>
      <w:pPr>
        <w:pStyle w:val="ListBullet"/>
        <w:numPr>
          <w:ilvl w:val="0"/>
          <w:numId w:val="1"/>
        </w:numPr>
        <w:rPr/>
      </w:pPr>
      <w:r>
        <w:rPr/>
        <w:t>A separately running staging environment, paid Azure support plans, WAF/CDN gateways, private endpoint networking and high availability/failover architecture.</w:t>
      </w:r>
    </w:p>
    <w:p>
      <w:pPr>
        <w:pStyle w:val="ListBullet"/>
        <w:numPr>
          <w:ilvl w:val="0"/>
          <w:numId w:val="1"/>
        </w:numPr>
        <w:rPr/>
      </w:pPr>
      <w:r>
        <w:rPr/>
        <w:t>Premium domain names, paid certificates and prolonged backup retention beyond the agreed design.</w:t>
      </w:r>
    </w:p>
    <w:p>
      <w:pPr>
        <w:pStyle w:val="Heading1"/>
        <w:rPr/>
      </w:pPr>
      <w:r>
        <w:rPr/>
        <w:t>7. Growth, recovery and cost controls</w:t>
      </w:r>
    </w:p>
    <w:p>
      <w:pPr>
        <w:pStyle w:val="Normal"/>
        <w:rPr/>
      </w:pPr>
      <w:r>
        <w:rPr/>
        <w:t>Keep documents in Blob Storage rather than the SQL database. At the retrieved first-tier Hot LRS storage reference of CA$0.0283/GB-month, 25 GB of primary content is about CA$0.71/month before operations, versions, recovery copies and transfer. The larger allowance in the table covers those uncertainties. LRS replication is not an independent backup against accidental deletion or application mistakes.</w:t>
      </w:r>
    </w:p>
    <w:p>
      <w:pPr>
        <w:pStyle w:val="Normal"/>
        <w:rPr/>
      </w:pPr>
      <w:r>
        <w:rPr/>
        <w:t>Azure SQL includes automated backups, but restoration requirements, retention and redundancy must be configured and tested. The recovery allowance covers supplementary consumption rather than charging a second fixed SQL backup service. It does not fund a continuously running standby database. Keys for encrypted data must remain recoverable alongside the backups.</w:t>
      </w:r>
    </w:p>
    <w:p>
      <w:pPr>
        <w:pStyle w:val="Normal"/>
        <w:rPr/>
      </w:pPr>
      <w:r>
        <w:rPr/>
        <w:t>Review CPU/memory, API latency, SQL resource usage, database size and logs after launch and during tax-season peaks. Increase resources based on sustained bottlenecks, not just client count. Use budget alerts at CA$100 and CA$150, log sampling and retention caps. Budget alerts notify; they do not impose a hard spending cap.</w:t>
      </w:r>
    </w:p>
    <w:p>
      <w:pPr>
        <w:pStyle w:val="Normal"/>
        <w:rPr/>
      </w:pPr>
      <w:r>
        <w:rPr/>
        <w:t>Canada Central is the planning region for core resources, not a guarantee that every supporting service, email message, static asset or payment-processing operation stays in Canada. Confirm the residency and backup requirements before deployment. For a later multi-firm service, calculate shared fixed costs and per-firm variable usage; do not simply multiply this standalone estimate by the number of firms.</w:t>
      </w:r>
    </w:p>
    <w:p>
      <w:pPr>
        <w:pStyle w:val="Heading1"/>
        <w:rPr/>
      </w:pPr>
      <w:r>
        <w:rPr/>
        <w:t>8. Price evidence and estimate limitations</w:t>
      </w:r>
    </w:p>
    <w:p>
      <w:pPr>
        <w:pStyle w:val="Normal"/>
        <w:rPr/>
      </w:pPr>
      <w:r>
        <w:rPr/>
        <w:t>Price check date: 6 October 2026. The Azure Retail Prices API returned CAD reference rates for Canada Central, consumption pricing: Linux B1 CA$0.0255/hour, Linux B2 CA$0.0496/hour, SQL Single Standard S0 CA$0.7536/day, and Hot LRS block-blob first-tier storage CA$0.0283/GB-month. Microsoft states non-USD API prices are reference estimates for budgeting. Confirm the portal/calculator price under the actual subscription before purchase.</w:t>
      </w:r>
    </w:p>
    <w:p>
      <w:pPr>
        <w:pStyle w:val="Normal"/>
        <w:rPr/>
      </w:pPr>
      <w:r>
        <w:rPr/>
        <w:t>Azure SQL Basic was also priced at CA$0.2507/day (about CA$7.63/month), but it is excluded from the main plan: its 2 GB maximum and limited resources leave less room for growth. S0 provides 10 DTUs and up to 250 GB under documented limits; neither tier assures adequate performance for this particular application without validation.</w:t>
      </w:r>
    </w:p>
    <w:p>
      <w:pPr>
        <w:pStyle w:val="Normal"/>
        <w:rPr/>
      </w:pPr>
      <w:r>
        <w:rPr/>
        <w:t>The estimate uses the established .NET/React/SQL/Blob architecture. The supplied ZIP snapshots predate several recent features; this is infrastructure planning, not a current-code deployment audit. No resources were purchased or provisioned. Obtain a final scoped quote if a buyer requires a fixed total operating fee.</w:t>
      </w:r>
    </w:p>
    <w:p>
      <w:pPr>
        <w:pStyle w:val="Heading2"/>
        <w:rPr/>
      </w:pPr>
      <w:r>
        <w:rPr/>
        <w:t>Official references</w:t>
      </w:r>
    </w:p>
    <w:p>
      <w:pPr>
        <w:pStyle w:val="Normal"/>
        <w:rPr/>
      </w:pPr>
      <w:r>
        <w:rPr/>
        <w:t>Azure Retail Prices API: reference currency, regional meters and methodology</w:t>
        <w:br/>
        <w:t>https://learn.microsoft.com/en-us/rest/api/cost-management/retail-prices/azure-retail-prices</w:t>
      </w:r>
    </w:p>
    <w:p>
      <w:pPr>
        <w:pStyle w:val="Normal"/>
        <w:rPr/>
      </w:pPr>
      <w:r>
        <w:rPr/>
        <w:t>Azure Retail Prices API endpoint (CAD with canadacentral region filter used)</w:t>
        <w:br/>
        <w:t>https://prices.azure.com/api/retail/prices</w:t>
      </w:r>
    </w:p>
    <w:p>
      <w:pPr>
        <w:pStyle w:val="Normal"/>
        <w:rPr/>
      </w:pPr>
      <w:r>
        <w:rPr/>
        <w:t>Linux App Service pricing</w:t>
        <w:br/>
        <w:t>https://azure.microsoft.com/en-us/pricing/details/app-service/linux/</w:t>
      </w:r>
    </w:p>
    <w:p>
      <w:pPr>
        <w:pStyle w:val="Normal"/>
        <w:rPr/>
      </w:pPr>
      <w:r>
        <w:rPr/>
        <w:t>Azure SQL single database pricing</w:t>
        <w:br/>
        <w:t>https://azure.microsoft.com/en-us/pricing/details/azure-sql-database/single/</w:t>
      </w:r>
    </w:p>
    <w:p>
      <w:pPr>
        <w:pStyle w:val="Normal"/>
        <w:rPr/>
      </w:pPr>
      <w:r>
        <w:rPr/>
        <w:t>SQL DTU resource limits</w:t>
        <w:br/>
        <w:t>https://learn.microsoft.com/en-us/azure/azure-sql/database/resource-limits-dtu-single-databases</w:t>
      </w:r>
    </w:p>
    <w:p>
      <w:pPr>
        <w:pStyle w:val="Normal"/>
        <w:rPr/>
      </w:pPr>
      <w:r>
        <w:rPr/>
        <w:t>Azure Blob Storage pricing</w:t>
        <w:br/>
        <w:t>https://azure.microsoft.com/en-us/pricing/details/storage/blobs/</w:t>
      </w:r>
    </w:p>
    <w:p>
      <w:pPr>
        <w:pStyle w:val="Normal"/>
        <w:rPr/>
      </w:pPr>
      <w:r>
        <w:rPr/>
        <w:t>Azure SQL automated backups</w:t>
        <w:br/>
        <w:t>https://learn.microsoft.com/en-us/azure/azure-sql/database/automated-backups-overview</w:t>
      </w:r>
    </w:p>
    <w:p>
      <w:pPr>
        <w:pStyle w:val="Normal"/>
        <w:rPr/>
      </w:pPr>
      <w:r>
        <w:rPr/>
        <w:t>Email pricing: usage model; published examples may not reflect current rates</w:t>
        <w:br/>
        <w:t>https://learn.microsoft.com/en-us/azure/communication-services/concepts/email-pricing</w:t>
      </w:r>
    </w:p>
    <w:p>
      <w:pPr>
        <w:pStyle w:val="Normal"/>
        <w:rPr/>
      </w:pPr>
      <w:r>
        <w:rPr/>
        <w:t>Static Web Apps plans: separate paid hosting option; not included in main estimate</w:t>
        <w:br/>
        <w:t>https://learn.microsoft.com/en-us/azure/static-web-apps/plans</w:t>
      </w:r>
    </w:p>
    <w:p>
      <w:pPr>
        <w:pStyle w:val="Normal"/>
        <w:widowControl/>
        <w:bidi w:val="0"/>
        <w:spacing w:lineRule="auto" w:line="276" w:before="0" w:after="200"/>
        <w:jc w:val="left"/>
        <w:rPr/>
      </w:pPr>
      <w:r>
        <w:rPr/>
        <w:t>Stripe Canadian pricing</w:t>
        <w:br/>
        <w:t>https://stripe.com/en-ca/pricing</w:t>
      </w:r>
    </w:p>
    <w:sectPr>
      <w:headerReference w:type="default" r:id="rId2"/>
      <w:footerReference w:type="default" r:id="rId3"/>
      <w:type w:val="nextPage"/>
      <w:pgSz w:w="12240" w:h="15840"/>
      <w:pgMar w:left="1800" w:right="1800"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TaxServices • CAD planning estimate • 6 October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TaxServices | Infrastructure &amp; Cloud Cost Estimate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LibreOffice/7.5.5.2$Windows_X86_64 LibreOffice_project/ca8fe7424262805f223b9a2334bc7181abbcbf5e</Application>
  <AppVersion>15.0000</AppVersion>
  <Pages>5</Pages>
  <Words>1630</Words>
  <Characters>10377</Characters>
  <CharactersWithSpaces>11821</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2026-10-06T10:03:41Z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