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Shared Hosting &amp; Pilot Cost Proposal</w:t>
      </w:r>
    </w:p>
    <w:p>
      <w:pPr>
        <w:pStyle w:val="Subtitle"/>
      </w:pPr>
      <w:r>
        <w:t>For an accounting/tax firm starting with 10 clients and potentially growing to 100</w:t>
      </w:r>
    </w:p>
    <w:p>
      <w:r>
        <w:t>Revised 6 October 2026 • CAD • Before applicable taxes • Proposal for discussion</w:t>
      </w:r>
    </w:p>
    <w:p>
      <w:pPr>
        <w:pStyle w:val="Heading1"/>
      </w:pPr>
      <w:r>
        <w:t>1. Proposed introductory offer</w:t>
      </w:r>
    </w:p>
    <w:p>
      <w:r>
        <w:t>To make initial adoption affordable, the proposed six-month pilot provides the TaxServices software and standard company website without a software or website development fee. The proposed hosting contribution is CA$20 per month, or CA$120 for six months, starting at the agreed launch date. This is a proposed introductory price, not an accepted contract or a claim that the cloud bill is exactly CA$20.</w:t>
      </w:r>
    </w:p>
    <w:tbl>
      <w:tblPr>
        <w:tblStyle w:val="LightShading-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Pilot proposal</w:t>
            </w:r>
          </w:p>
        </w:tc>
      </w:tr>
      <w:tr>
        <w:tc>
          <w:tcPr>
            <w:tcW w:type="dxa" w:w="4320"/>
          </w:tcPr>
          <w:p>
            <w:r>
              <w:t>Software licence/subscription during pilot</w:t>
            </w:r>
          </w:p>
        </w:tc>
        <w:tc>
          <w:tcPr>
            <w:tcW w:type="dxa" w:w="4320"/>
          </w:tcPr>
          <w:p>
            <w:r>
              <w:t>CA$0</w:t>
            </w:r>
          </w:p>
        </w:tc>
      </w:tr>
      <w:tr>
        <w:tc>
          <w:tcPr>
            <w:tcW w:type="dxa" w:w="4320"/>
          </w:tcPr>
          <w:p>
            <w:r>
              <w:t>Standard website setup during pilot</w:t>
            </w:r>
          </w:p>
        </w:tc>
        <w:tc>
          <w:tcPr>
            <w:tcW w:type="dxa" w:w="4320"/>
          </w:tcPr>
          <w:p>
            <w:r>
              <w:t>CA$0</w:t>
            </w:r>
          </w:p>
        </w:tc>
      </w:tr>
      <w:tr>
        <w:tc>
          <w:tcPr>
            <w:tcW w:type="dxa" w:w="4320"/>
          </w:tcPr>
          <w:p>
            <w:r>
              <w:t>Shared hosting contribution</w:t>
            </w:r>
          </w:p>
        </w:tc>
        <w:tc>
          <w:tcPr>
            <w:tcW w:type="dxa" w:w="4320"/>
          </w:tcPr>
          <w:p>
            <w:r>
              <w:t>CA$20/month</w:t>
            </w:r>
          </w:p>
        </w:tc>
      </w:tr>
      <w:tr>
        <w:tc>
          <w:tcPr>
            <w:tcW w:type="dxa" w:w="4320"/>
          </w:tcPr>
          <w:p>
            <w:r>
              <w:t>Pilot duration</w:t>
            </w:r>
          </w:p>
        </w:tc>
        <w:tc>
          <w:tcPr>
            <w:tcW w:type="dxa" w:w="4320"/>
          </w:tcPr>
          <w:p>
            <w:r>
              <w:t>Six months from agreed launch</w:t>
            </w:r>
          </w:p>
        </w:tc>
      </w:tr>
      <w:tr>
        <w:tc>
          <w:tcPr>
            <w:tcW w:type="dxa" w:w="4320"/>
          </w:tcPr>
          <w:p>
            <w:r>
              <w:t>Six-month hosting contribution</w:t>
            </w:r>
          </w:p>
        </w:tc>
        <w:tc>
          <w:tcPr>
            <w:tcW w:type="dxa" w:w="4320"/>
          </w:tcPr>
          <w:p>
            <w:r>
              <w:t>CA$120</w:t>
            </w:r>
          </w:p>
        </w:tc>
      </w:tr>
      <w:tr>
        <w:tc>
          <w:tcPr>
            <w:tcW w:type="dxa" w:w="4320"/>
          </w:tcPr>
          <w:p>
            <w:r>
              <w:t>Client growth</w:t>
            </w:r>
          </w:p>
        </w:tc>
        <w:tc>
          <w:tcPr>
            <w:tcW w:type="dxa" w:w="4320"/>
          </w:tcPr>
          <w:p>
            <w:r>
              <w:t>10 initially, potentially up to 100; subject to measured capacity</w:t>
            </w:r>
          </w:p>
        </w:tc>
      </w:tr>
      <w:tr>
        <w:tc>
          <w:tcPr>
            <w:tcW w:type="dxa" w:w="4320"/>
          </w:tcPr>
          <w:p>
            <w:r>
              <w:t>After the pilot</w:t>
            </w:r>
          </w:p>
        </w:tc>
        <w:tc>
          <w:tcPr>
            <w:tcW w:type="dxa" w:w="4320"/>
          </w:tcPr>
          <w:p>
            <w:r>
              <w:t>Pricing reviewed and agreed before any continued paid term</w:t>
            </w:r>
          </w:p>
        </w:tc>
      </w:tr>
      <w:tr>
        <w:tc>
          <w:tcPr>
            <w:tcW w:type="dxa" w:w="4320"/>
          </w:tcPr>
          <w:p>
            <w:r>
              <w:t>Payment-processing fees</w:t>
            </w:r>
          </w:p>
        </w:tc>
        <w:tc>
          <w:tcPr>
            <w:tcW w:type="dxa" w:w="4320"/>
          </w:tcPr>
          <w:p>
            <w:r>
              <w:t>Separate, based on actual payments</w:t>
            </w:r>
          </w:p>
        </w:tc>
      </w:tr>
      <w:tr>
        <w:tc>
          <w:tcPr>
            <w:tcW w:type="dxa" w:w="4320"/>
          </w:tcPr>
          <w:p>
            <w:r>
              <w:t>Company domain</w:t>
            </w:r>
          </w:p>
        </w:tc>
        <w:tc>
          <w:tcPr>
            <w:tcW w:type="dxa" w:w="4320"/>
          </w:tcPr>
          <w:p>
            <w:r>
              <w:t>Use the existing domain where possible; new registration cost to be agreed</w:t>
            </w:r>
          </w:p>
        </w:tc>
      </w:tr>
    </w:tbl>
    <w:p>
      <w:r>
        <w:t>Growth from 10 to 100 registered clients does not automatically increase the proposed hosting contribution during the agreed pilot. The pilot should define reasonable file storage and traffic limits before launch. Any change in scope or charges requires agreement; there is no automatic post-pilot price stated in this proposal.</w:t>
      </w:r>
    </w:p>
    <w:p>
      <w:pPr>
        <w:pStyle w:val="Heading1"/>
      </w:pPr>
      <w:r>
        <w:t>2. Shared hosting model</w:t>
      </w:r>
    </w:p>
    <w:p>
      <w:r>
        <w:t>Each firm has its own website/frontend deployment and domain. The API, relational database and document storage can share the platform’s backend resources, with records logically separated by TenantId and client permissions. Hosting frontend builds on the same App Service plan is one proposed way to avoid paying for a separate compute plan per firm. The deployment must be configured and tenant boundaries verified before real client data is introduced.</w:t>
      </w:r>
    </w:p>
    <w:p>
      <w:r>
        <w:t>Shared infrastructure spreads fixed costs across participating firms. It does not create savings from other firms before they join: the platform owner funds the difference between the first firm’s introductory contribution and the actual total bill. A dedicated server or database for each firm is outside this introductory model.</w:t>
      </w:r>
    </w:p>
    <w:p>
      <w:pPr>
        <w:pStyle w:val="Heading1"/>
      </w:pPr>
      <w:r>
        <w:t>3. Scope and planning assumptions</w:t>
      </w:r>
    </w:p>
    <w:p>
      <w:r>
        <w:t>The initial estimate assumes one participating firm, 1–3 staff, light portal usage, modest tax-case and invoice records, and encrypted documents stored in Azure Blob Storage rather than SQL. A 100-client stage assumes up to approximately 10 users active at once; capacity has not yet been load-tested.</w:t>
      </w:r>
    </w:p>
    <w:p>
      <w:pPr>
        <w:pStyle w:val="ListBullet"/>
      </w:pPr>
      <w:r>
        <w:t>Documents: illustrative average 40 files × 3 MB per client; approximately 1.2 GB at 10 clients and 12 GB at 100 clients. Allow a 5–25 GB primary-content envelope.</w:t>
      </w:r>
    </w:p>
    <w:p>
      <w:pPr>
        <w:pStyle w:val="ListBullet"/>
      </w:pPr>
      <w:r>
        <w:t>Transactional emails: approximately 300–2,000 per month; avoid large document attachments.</w:t>
      </w:r>
    </w:p>
    <w:p>
      <w:pPr>
        <w:pStyle w:val="ListBullet"/>
      </w:pPr>
      <w:r>
        <w:t>Traffic: approximately 5–25 GB outbound per month; actual billing depends on service and route.</w:t>
      </w:r>
    </w:p>
    <w:p>
      <w:pPr>
        <w:pStyle w:val="ListBullet"/>
      </w:pPr>
      <w:r>
        <w:t>Logging: sampled operational logs with bounded retention; no bulk debug logging.</w:t>
      </w:r>
    </w:p>
    <w:p>
      <w:pPr>
        <w:pStyle w:val="ListBullet"/>
      </w:pPr>
      <w:r>
        <w:t>Deployment: Linux App Service, managed Azure SQL, Blob Storage and recoverable secrets; core resources planned for Canada Central. No separate continuously running staging stack or cross-region standby.</w:t>
      </w:r>
    </w:p>
    <w:p>
      <w:pPr>
        <w:pStyle w:val="Heading1"/>
      </w:pPr>
      <w:r>
        <w:t>4. Platform operating costs — provider planning</w:t>
      </w:r>
    </w:p>
    <w:p>
      <w:r>
        <w:t>The following costs are for the shared platform as a whole, not charges payable by each firm. These estimates exclude operator labour and payment-processing fees. They use the CAD reference rates retrieved on 6 October 2026; actual subscription prices and usage must be confirmed before provisioning.</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Component / month</w:t>
            </w:r>
          </w:p>
        </w:tc>
        <w:tc>
          <w:tcPr>
            <w:tcW w:type="dxa" w:w="2880"/>
          </w:tcPr>
          <w:p>
            <w:r>
              <w:t>Lean pilot</w:t>
            </w:r>
          </w:p>
        </w:tc>
        <w:tc>
          <w:tcPr>
            <w:tcW w:type="dxa" w:w="2880"/>
          </w:tcPr>
          <w:p>
            <w:r>
              <w:t>More database headroom</w:t>
            </w:r>
          </w:p>
        </w:tc>
      </w:tr>
      <w:tr>
        <w:tc>
          <w:tcPr>
            <w:tcW w:type="dxa" w:w="2880"/>
          </w:tcPr>
          <w:p>
            <w:r>
              <w:t>Linux App Service B1</w:t>
            </w:r>
          </w:p>
        </w:tc>
        <w:tc>
          <w:tcPr>
            <w:tcW w:type="dxa" w:w="2880"/>
          </w:tcPr>
          <w:p>
            <w:r>
              <w:t>CA$18.62</w:t>
            </w:r>
          </w:p>
        </w:tc>
        <w:tc>
          <w:tcPr>
            <w:tcW w:type="dxa" w:w="2880"/>
          </w:tcPr>
          <w:p>
            <w:r>
              <w:t>CA$18.62</w:t>
            </w:r>
          </w:p>
        </w:tc>
      </w:tr>
      <w:tr>
        <w:tc>
          <w:tcPr>
            <w:tcW w:type="dxa" w:w="2880"/>
          </w:tcPr>
          <w:p>
            <w:r>
              <w:t>Azure SQL database</w:t>
            </w:r>
          </w:p>
        </w:tc>
        <w:tc>
          <w:tcPr>
            <w:tcW w:type="dxa" w:w="2880"/>
          </w:tcPr>
          <w:p>
            <w:r>
              <w:t>Basic: CA$7.63</w:t>
            </w:r>
          </w:p>
        </w:tc>
        <w:tc>
          <w:tcPr>
            <w:tcW w:type="dxa" w:w="2880"/>
          </w:tcPr>
          <w:p>
            <w:r>
              <w:t>S0: CA$22.92</w:t>
            </w:r>
          </w:p>
        </w:tc>
      </w:tr>
      <w:tr>
        <w:tc>
          <w:tcPr>
            <w:tcW w:type="dxa" w:w="2880"/>
          </w:tcPr>
          <w:p>
            <w:r>
              <w:t>Documents and light storage operations*</w:t>
            </w:r>
          </w:p>
        </w:tc>
        <w:tc>
          <w:tcPr>
            <w:tcW w:type="dxa" w:w="2880"/>
          </w:tcPr>
          <w:p>
            <w:r>
              <w:t>CA$2.00</w:t>
            </w:r>
          </w:p>
        </w:tc>
        <w:tc>
          <w:tcPr>
            <w:tcW w:type="dxa" w:w="2880"/>
          </w:tcPr>
          <w:p>
            <w:r>
              <w:t>CA$2.00</w:t>
            </w:r>
          </w:p>
        </w:tc>
      </w:tr>
      <w:tr>
        <w:tc>
          <w:tcPr>
            <w:tcW w:type="dxa" w:w="2880"/>
          </w:tcPr>
          <w:p>
            <w:r>
              <w:t>Transactional email*</w:t>
            </w:r>
          </w:p>
        </w:tc>
        <w:tc>
          <w:tcPr>
            <w:tcW w:type="dxa" w:w="2880"/>
          </w:tcPr>
          <w:p>
            <w:r>
              <w:t>CA$1.00</w:t>
            </w:r>
          </w:p>
        </w:tc>
        <w:tc>
          <w:tcPr>
            <w:tcW w:type="dxa" w:w="2880"/>
          </w:tcPr>
          <w:p>
            <w:r>
              <w:t>CA$1.00</w:t>
            </w:r>
          </w:p>
        </w:tc>
      </w:tr>
      <w:tr>
        <w:tc>
          <w:tcPr>
            <w:tcW w:type="dxa" w:w="2880"/>
          </w:tcPr>
          <w:p>
            <w:r>
              <w:t>Supplementary recovery storage*</w:t>
            </w:r>
          </w:p>
        </w:tc>
        <w:tc>
          <w:tcPr>
            <w:tcW w:type="dxa" w:w="2880"/>
          </w:tcPr>
          <w:p>
            <w:r>
              <w:t>CA$2.00</w:t>
            </w:r>
          </w:p>
        </w:tc>
        <w:tc>
          <w:tcPr>
            <w:tcW w:type="dxa" w:w="2880"/>
          </w:tcPr>
          <w:p>
            <w:r>
              <w:t>CA$2.00</w:t>
            </w:r>
          </w:p>
        </w:tc>
      </w:tr>
      <w:tr>
        <w:tc>
          <w:tcPr>
            <w:tcW w:type="dxa" w:w="2880"/>
          </w:tcPr>
          <w:p>
            <w:r>
              <w:t>Controlled logging/monitoring*</w:t>
            </w:r>
          </w:p>
        </w:tc>
        <w:tc>
          <w:tcPr>
            <w:tcW w:type="dxa" w:w="2880"/>
          </w:tcPr>
          <w:p>
            <w:r>
              <w:t>CA$1.00</w:t>
            </w:r>
          </w:p>
        </w:tc>
        <w:tc>
          <w:tcPr>
            <w:tcW w:type="dxa" w:w="2880"/>
          </w:tcPr>
          <w:p>
            <w:r>
              <w:t>CA$1.00</w:t>
            </w:r>
          </w:p>
        </w:tc>
      </w:tr>
      <w:tr>
        <w:tc>
          <w:tcPr>
            <w:tcW w:type="dxa" w:w="2880"/>
          </w:tcPr>
          <w:p>
            <w:r>
              <w:t>Secret-store operations*</w:t>
            </w:r>
          </w:p>
        </w:tc>
        <w:tc>
          <w:tcPr>
            <w:tcW w:type="dxa" w:w="2880"/>
          </w:tcPr>
          <w:p>
            <w:r>
              <w:t>CA$1.00</w:t>
            </w:r>
          </w:p>
        </w:tc>
        <w:tc>
          <w:tcPr>
            <w:tcW w:type="dxa" w:w="2880"/>
          </w:tcPr>
          <w:p>
            <w:r>
              <w:t>CA$1.00</w:t>
            </w:r>
          </w:p>
        </w:tc>
      </w:tr>
      <w:tr>
        <w:tc>
          <w:tcPr>
            <w:tcW w:type="dxa" w:w="2880"/>
          </w:tcPr>
          <w:p>
            <w:r>
              <w:t>Network usage allowance*</w:t>
            </w:r>
          </w:p>
        </w:tc>
        <w:tc>
          <w:tcPr>
            <w:tcW w:type="dxa" w:w="2880"/>
          </w:tcPr>
          <w:p>
            <w:r>
              <w:t>CA$1.00</w:t>
            </w:r>
          </w:p>
        </w:tc>
        <w:tc>
          <w:tcPr>
            <w:tcW w:type="dxa" w:w="2880"/>
          </w:tcPr>
          <w:p>
            <w:r>
              <w:t>CA$1.00</w:t>
            </w:r>
          </w:p>
        </w:tc>
      </w:tr>
      <w:tr>
        <w:tc>
          <w:tcPr>
            <w:tcW w:type="dxa" w:w="2880"/>
          </w:tcPr>
          <w:p>
            <w:r>
              <w:t>One domain/basic DNS allowance*</w:t>
            </w:r>
          </w:p>
        </w:tc>
        <w:tc>
          <w:tcPr>
            <w:tcW w:type="dxa" w:w="2880"/>
          </w:tcPr>
          <w:p>
            <w:r>
              <w:t>CA$3.00</w:t>
            </w:r>
          </w:p>
        </w:tc>
        <w:tc>
          <w:tcPr>
            <w:tcW w:type="dxa" w:w="2880"/>
          </w:tcPr>
          <w:p>
            <w:r>
              <w:t>CA$3.00</w:t>
            </w:r>
          </w:p>
        </w:tc>
      </w:tr>
      <w:tr>
        <w:tc>
          <w:tcPr>
            <w:tcW w:type="dxa" w:w="2880"/>
          </w:tcPr>
          <w:p>
            <w:r>
              <w:t>Illustrative total</w:t>
            </w:r>
          </w:p>
        </w:tc>
        <w:tc>
          <w:tcPr>
            <w:tcW w:type="dxa" w:w="2880"/>
          </w:tcPr>
          <w:p>
            <w:r>
              <w:t>CA$37.25</w:t>
            </w:r>
          </w:p>
        </w:tc>
        <w:tc>
          <w:tcPr>
            <w:tcW w:type="dxa" w:w="2880"/>
          </w:tcPr>
          <w:p>
            <w:r>
              <w:t>CA$52.54</w:t>
            </w:r>
          </w:p>
        </w:tc>
      </w:tr>
      <w:tr>
        <w:tc>
          <w:tcPr>
            <w:tcW w:type="dxa" w:w="2880"/>
          </w:tcPr>
          <w:p>
            <w:r>
              <w:t>Planning range under light usage</w:t>
            </w:r>
          </w:p>
        </w:tc>
        <w:tc>
          <w:tcPr>
            <w:tcW w:type="dxa" w:w="2880"/>
          </w:tcPr>
          <w:p>
            <w:r>
              <w:t>CA$35–45/month</w:t>
            </w:r>
          </w:p>
        </w:tc>
        <w:tc>
          <w:tcPr>
            <w:tcW w:type="dxa" w:w="2880"/>
          </w:tcPr>
          <w:p>
            <w:r>
              <w:t>CA$50–60/month</w:t>
            </w:r>
          </w:p>
        </w:tc>
      </w:tr>
    </w:tbl>
    <w:p>
      <w:r>
        <w:t>* Planning allowances, not verified provider quotations or guaranteed caps. Domain is budgeted annually at CA$36, spread monthly; reuse of an existing domain may remove that incremental cost. This internal allowance is not an additional automatic customer charge. Consumption at the upper end of the growth assumptions can exceed these lean allowances.</w:t>
      </w:r>
    </w:p>
    <w:p>
      <w:r>
        <w:t>Verified reference calculations: B1 CA$0.0255/hour × 730 hours = CA$18.615/month; Basic CA$0.2507/day × 365/12 = CA$7.625/month; S0 CA$0.7536/day × 365/12 = CA$22.922/month. Microsoft describes non-USD API prices as budgeting references. Calendar length and subscription terms affect the final invoice.</w:t>
      </w:r>
    </w:p>
    <w:p>
      <w:r>
        <w:t>Basic has 5 DTUs and a 2 GB maximum database size. It is a pilot candidate only after performance and restore validation. S0 has 10 DTUs and documented included storage of 250 GB, but it also needs validation for this application. Upgrade based on database size, resource pressure or response time rather than registered-client count. Files remaining outside SQL reduces database size; it does not eliminate query workload.</w:t>
      </w:r>
    </w:p>
    <w:p>
      <w:r>
        <w:t>Keep B1 while measurements support it. B2 was priced at CA$0.0496/hour, approximately CA$36.21/month, adding CA$17.59/month to the platform before other changes. B2 is not a required upgrade simply because the first firm reaches 100 clients.</w:t>
      </w:r>
    </w:p>
    <w:p>
      <w:pPr>
        <w:pStyle w:val="Heading1"/>
      </w:pPr>
      <w:r>
        <w:t>5. Pilot funding and shared-cost examples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One participating firm</w:t>
            </w:r>
          </w:p>
        </w:tc>
        <w:tc>
          <w:tcPr>
            <w:tcW w:type="dxa" w:w="2160"/>
          </w:tcPr>
          <w:p>
            <w:r>
              <w:t>Platform cost / month</w:t>
            </w:r>
          </w:p>
        </w:tc>
        <w:tc>
          <w:tcPr>
            <w:tcW w:type="dxa" w:w="2160"/>
          </w:tcPr>
          <w:p>
            <w:r>
              <w:t>Hosting contribution</w:t>
            </w:r>
          </w:p>
        </w:tc>
        <w:tc>
          <w:tcPr>
            <w:tcW w:type="dxa" w:w="2160"/>
          </w:tcPr>
          <w:p>
            <w:r>
              <w:t>Owner-funded balance</w:t>
            </w:r>
          </w:p>
        </w:tc>
      </w:tr>
      <w:tr>
        <w:tc>
          <w:tcPr>
            <w:tcW w:type="dxa" w:w="2160"/>
          </w:tcPr>
          <w:p>
            <w:r>
              <w:t>Lean illustrative budget</w:t>
            </w:r>
          </w:p>
        </w:tc>
        <w:tc>
          <w:tcPr>
            <w:tcW w:type="dxa" w:w="2160"/>
          </w:tcPr>
          <w:p>
            <w:r>
              <w:t>CA$37.25</w:t>
            </w:r>
          </w:p>
        </w:tc>
        <w:tc>
          <w:tcPr>
            <w:tcW w:type="dxa" w:w="2160"/>
          </w:tcPr>
          <w:p>
            <w:r>
              <w:t>CA$20</w:t>
            </w:r>
          </w:p>
        </w:tc>
        <w:tc>
          <w:tcPr>
            <w:tcW w:type="dxa" w:w="2160"/>
          </w:tcPr>
          <w:p>
            <w:r>
              <w:t>CA$17.25/month</w:t>
            </w:r>
          </w:p>
        </w:tc>
      </w:tr>
      <w:tr>
        <w:tc>
          <w:tcPr>
            <w:tcW w:type="dxa" w:w="2160"/>
          </w:tcPr>
          <w:p>
            <w:r>
              <w:t>S0 illustrative budget</w:t>
            </w:r>
          </w:p>
        </w:tc>
        <w:tc>
          <w:tcPr>
            <w:tcW w:type="dxa" w:w="2160"/>
          </w:tcPr>
          <w:p>
            <w:r>
              <w:t>CA$52.54</w:t>
            </w:r>
          </w:p>
        </w:tc>
        <w:tc>
          <w:tcPr>
            <w:tcW w:type="dxa" w:w="2160"/>
          </w:tcPr>
          <w:p>
            <w:r>
              <w:t>CA$20</w:t>
            </w:r>
          </w:p>
        </w:tc>
        <w:tc>
          <w:tcPr>
            <w:tcW w:type="dxa" w:w="2160"/>
          </w:tcPr>
          <w:p>
            <w:r>
              <w:t>CA$32.54/month</w:t>
            </w:r>
          </w:p>
        </w:tc>
      </w:tr>
    </w:tbl>
    <w:p>
      <w:r>
        <w:t>At these illustrative bills, six months of owner-funded infrastructure would be CA$103.50 with Basic or CA$195.24 with S0. At the wider planning ranges, the owner-funded balance is approximately CA$90–150 or CA$180–240 for six months. Development and support time remain separate costs borne by the provider under this proposed pilot.</w:t>
      </w:r>
    </w:p>
    <w:p>
      <w:r>
        <w:t>If total platform cost remained CA$40/month, simple equal allocation would be CA$40 for one firm, CA$20 each for two firms, or CA$10 each for four firms. This is arithmetic, not a capacity or cost promise: extra frontend apps, aggregate load, domains, emails and storage may raise the total. Allocate shared fixed costs and each firm’s actual variable usage when building the later commercial model.</w:t>
      </w:r>
    </w:p>
    <w:p>
      <w:pPr>
        <w:pStyle w:val="Heading1"/>
      </w:pPr>
      <w:r>
        <w:t>6. Stripe and other separately scoped items</w:t>
      </w:r>
    </w:p>
    <w:p>
      <w:r>
        <w:t>Stripe’s published Canadian domestic-card processing price checked on 6 October 2026 is 2.9% + CA$0.30 per successful charge. A CA$300 charge therefore costs CA$9 in processing fees before applicable taxes or extra fees. Ten such charges per year cost CA$90; 100 such charges per year cost CA$900. Client count is not assumed to equal monthly transaction count.</w:t>
      </w:r>
    </w:p>
    <w:p>
      <w:r>
        <w:t>International cards, currency conversion, disputes and optional Stripe products can add fees. The final payment integration and merchant arrangement must be confirmed. Standard business mailboxes, custom development, bulk migration, SMS, OCR/AI, malware scanning, paid support plans, WAF/private-network infrastructure and dedicated hosting are outside this lean hosting estimate.</w:t>
      </w:r>
    </w:p>
    <w:p>
      <w:pPr>
        <w:pStyle w:val="Heading1"/>
      </w:pPr>
      <w:r>
        <w:t>7. Operational baseline</w:t>
      </w:r>
    </w:p>
    <w:p>
      <w:r>
        <w:t>Cost reduction comes from sharing resources and limiting unnecessary consumption. Retain HTTPS, server-side tenant and client access checks, private document storage, encryption, secure key custody, and tested recovery. Storage replication alone is not a backup against deletion. Automated SQL backups and any supplementary document copies must be configured alongside key recovery; restore work is not included in storage consumption allowances.</w:t>
      </w:r>
    </w:p>
    <w:p>
      <w:r>
        <w:t>Before launch, validate tenant mapping for each company site, public registration, current migrations, frontend/API routing, email delivery, document download permissions and a complete restore. Track CPU, memory, query pressure, response time and consumption during the pilot. Set budget alerts; alerts notify and do not stop billing. Confirm data residency for supporting services separately from the regional core resources.</w:t>
      </w:r>
    </w:p>
    <w:p>
      <w:pPr>
        <w:pStyle w:val="Heading1"/>
      </w:pPr>
      <w:r>
        <w:t>8. Official references and status</w:t>
      </w:r>
    </w:p>
    <w:p>
      <w:r>
        <w:t>This revision replaces the previous dedicated-environment estimate for the intended market-entry proposal. It is a planning document, not a cloud-provider quotation or a signed customer agreement. No resources have been purchased or provisioned.</w:t>
      </w:r>
    </w:p>
    <w:p>
      <w:r>
        <w:t>Azure App Service sharing and plan-level billing</w:t>
        <w:br/>
        <w:t>https://learn.microsoft.com/en-us/azure/app-service/overview-hosting-plans</w:t>
      </w:r>
    </w:p>
    <w:p>
      <w:r>
        <w:t>Azure Retail Prices API and reference-currency methodology</w:t>
        <w:br/>
        <w:t>https://learn.microsoft.com/en-us/rest/api/cost-management/retail-prices/azure-retail-prices</w:t>
      </w:r>
    </w:p>
    <w:p>
      <w:r>
        <w:t>Azure SQL Basic/S0 limits</w:t>
        <w:br/>
        <w:t>https://learn.microsoft.com/en-us/azure/azure-sql/database/resource-limits-dtu-single-databases</w:t>
      </w:r>
    </w:p>
    <w:p>
      <w:r>
        <w:t>Linux App Service pricing</w:t>
        <w:br/>
        <w:t>https://azure.microsoft.com/en-us/pricing/details/app-service/linux/</w:t>
      </w:r>
    </w:p>
    <w:p>
      <w:r>
        <w:t>Azure SQL pricing</w:t>
        <w:br/>
        <w:t>https://azure.microsoft.com/en-us/pricing/details/azure-sql-database/single/</w:t>
      </w:r>
    </w:p>
    <w:p>
      <w:r>
        <w:t>Azure Blob pricing</w:t>
        <w:br/>
        <w:t>https://azure.microsoft.com/en-us/pricing/details/storage/blobs/</w:t>
      </w:r>
    </w:p>
    <w:p>
      <w:r>
        <w:t>Azure SQL automated backups</w:t>
        <w:br/>
        <w:t>https://learn.microsoft.com/en-us/azure/azure-sql/database/automated-backups-overview</w:t>
      </w:r>
    </w:p>
    <w:p>
      <w:r>
        <w:t>Stripe Canadian pricing</w:t>
        <w:br/>
        <w:t>https://stripe.com/en-ca/pricing</w:t>
      </w:r>
    </w:p>
    <w:sectPr w:rsidR="00FC693F" w:rsidRPr="0006063C" w:rsidSect="00034616">
      <w:headerReference w:type="default" r:id="rId9"/>
      <w:footerReference w:type="default" r:id="rId10"/>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TaxServices • Revised shared-hosting proposal • CAD • 6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TaxServices | Shared Hosting &amp; Pilot Cost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