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TaxServices</w:t>
      </w:r>
    </w:p>
    <w:p>
      <w:pPr>
        <w:pStyle w:val="Subtitle"/>
      </w:pPr>
      <w:r>
        <w:t>A client portal and practice workflow platform for accounting and tax firms</w:t>
      </w:r>
    </w:p>
    <w:p>
      <w:r>
        <w:t>Service Catalog • Discussion draft • 6 October 2026</w:t>
      </w:r>
    </w:p>
    <w:p>
      <w:pPr>
        <w:pStyle w:val="Heading1"/>
      </w:pPr>
      <w:r>
        <w:t>Keep client work connected</w:t>
      </w:r>
    </w:p>
    <w:p>
      <w:r>
        <w:t>TaxServices brings client records, tax cases, documents, electronic signature requests and invoices into one platform. Staff manage day-to-day work through a dedicated portal, while clients access their own information through a separate client portal. The platform supports the administration of tax services; it does not calculate tax returns or submit returns to the CRA.</w:t>
      </w:r>
    </w:p>
    <w:p>
      <w:pPr>
        <w:pStyle w:val="Heading1"/>
      </w:pPr>
      <w:r>
        <w:t>Who it serves</w:t>
      </w:r>
    </w:p>
    <w:p>
      <w:r>
        <w:t>Small accounting and tax practices that want a more organized way to work with clients, request documents and signatures, and manage billing. A firm starting with approximately 10 clients and planning to grow to 100 is the initial deployment scenario; capacity and operating costs will be assessed separately.</w:t>
      </w:r>
    </w:p>
    <w:p>
      <w:pPr>
        <w:pStyle w:val="Heading1"/>
      </w:pPr>
      <w:r>
        <w:t>Core capabilities</w:t>
      </w:r>
    </w:p>
    <w:p>
      <w:pPr>
        <w:pStyle w:val="Heading2"/>
      </w:pPr>
      <w:r>
        <w:t>Client management</w:t>
      </w:r>
    </w:p>
    <w:p>
      <w:r>
        <w:t>Maintain client contact details, individual profiles and business relationships; search and browse client records.</w:t>
      </w:r>
    </w:p>
    <w:p>
      <w:r>
        <w:t>Business value: Keep client information together and reduce repeated entry.</w:t>
      </w:r>
    </w:p>
    <w:p>
      <w:pPr>
        <w:pStyle w:val="Heading2"/>
      </w:pPr>
      <w:r>
        <w:t>Staff and access management</w:t>
      </w:r>
    </w:p>
    <w:p>
      <w:r>
        <w:t>Manage employee records, active/inactive status and the Admin, Employee and Client roles.</w:t>
      </w:r>
    </w:p>
    <w:p>
      <w:r>
        <w:t>Business value: Give staff appropriate access and maintain an organized team directory.</w:t>
      </w:r>
    </w:p>
    <w:p>
      <w:pPr>
        <w:pStyle w:val="Heading2"/>
      </w:pPr>
      <w:r>
        <w:t>Tax case tracking</w:t>
      </w:r>
    </w:p>
    <w:p>
      <w:r>
        <w:t>Create cases by tax year, assign an employee and track progress through case statuses.</w:t>
      </w:r>
    </w:p>
    <w:p>
      <w:r>
        <w:t>Business value: See responsibility and work awaiting client input.</w:t>
      </w:r>
    </w:p>
    <w:p>
      <w:pPr>
        <w:pStyle w:val="Heading2"/>
      </w:pPr>
      <w:r>
        <w:t>Document management</w:t>
      </w:r>
    </w:p>
    <w:p>
      <w:r>
        <w:t>Upload and download supported documents, associate documents with clients and tax cases, and find documents using filters.</w:t>
      </w:r>
    </w:p>
    <w:p>
      <w:r>
        <w:t>Business value: Keep supporting records connected to the relevant client work.</w:t>
      </w:r>
    </w:p>
    <w:p>
      <w:pPr>
        <w:pStyle w:val="Heading2"/>
      </w:pPr>
      <w:r>
        <w:t>Electronic signature workflow</w:t>
      </w:r>
    </w:p>
    <w:p>
      <w:r>
        <w:t>Request a signature, let clients view, sign or decline, and let staff cancel pending requests. Retain signature status, timestamps and recorded events.</w:t>
      </w:r>
    </w:p>
    <w:p>
      <w:r>
        <w:t>Business value: Track outstanding requests and retain a record of the signing workflow.</w:t>
      </w:r>
    </w:p>
    <w:p>
      <w:pPr>
        <w:pStyle w:val="Heading2"/>
      </w:pPr>
      <w:r>
        <w:t>Invoice management</w:t>
      </w:r>
    </w:p>
    <w:p>
      <w:r>
        <w:t>Prepare invoices with line items, quantities, unit prices, tax rates, notes and due dates; manage invoice statuses.</w:t>
      </w:r>
    </w:p>
    <w:p>
      <w:r>
        <w:t>Business value: Present charges consistently and keep billing tied to client records.</w:t>
      </w:r>
    </w:p>
    <w:p>
      <w:pPr>
        <w:pStyle w:val="Heading2"/>
      </w:pPr>
      <w:r>
        <w:t>Client portal</w:t>
      </w:r>
    </w:p>
    <w:p>
      <w:r>
        <w:t>Provide authenticated access to the client’s profile, cases, documents, signature requests and invoice pages.</w:t>
      </w:r>
    </w:p>
    <w:p>
      <w:r>
        <w:t>Business value: Let clients review their work and complete available actions in one place.</w:t>
      </w:r>
    </w:p>
    <w:p>
      <w:pPr>
        <w:pStyle w:val="Heading2"/>
      </w:pPr>
      <w:r>
        <w:t>Staff portal and dashboard</w:t>
      </w:r>
    </w:p>
    <w:p>
      <w:r>
        <w:t>Provide operational summaries and access to clients, employees, cases, documents and billing pages.</w:t>
      </w:r>
    </w:p>
    <w:p>
      <w:r>
        <w:t>Business value: Help staff identify work requiring attention.</w:t>
      </w:r>
    </w:p>
    <w:p>
      <w:pPr>
        <w:pStyle w:val="Heading2"/>
      </w:pPr>
      <w:r>
        <w:t>Separate company experiences</w:t>
      </w:r>
    </w:p>
    <w:p>
      <w:r>
        <w:t>Support a separate website/frontend for each firm, with shared backend resources and tenant identifiers.</w:t>
      </w:r>
    </w:p>
    <w:p>
      <w:r>
        <w:t>Business value: Allow firms to have their own client-facing experience while organizing company data separately.</w:t>
      </w:r>
    </w:p>
    <w:p>
      <w:pPr>
        <w:pStyle w:val="Heading1"/>
      </w:pPr>
      <w:r>
        <w:t>Security and data protection</w:t>
      </w:r>
    </w:p>
    <w:p>
      <w:r>
        <w:t>The implementation includes controls intended to protect sensitive client records. These controls are product features, rather than a claim of independent certification or a guarantee against all security incidents.</w:t>
      </w:r>
    </w:p>
    <w:p>
      <w:pPr>
        <w:pStyle w:val="Heading2"/>
      </w:pPr>
      <w:r>
        <w:t>Role-based access</w:t>
      </w:r>
    </w:p>
    <w:p>
      <w:r>
        <w:t>Authenticated access is organized around Admin, Employee and Client roles, with separate staff and client operations.</w:t>
      </w:r>
    </w:p>
    <w:p>
      <w:pPr>
        <w:pStyle w:val="Heading2"/>
      </w:pPr>
      <w:r>
        <w:t>Company data separation</w:t>
      </w:r>
    </w:p>
    <w:p>
      <w:r>
        <w:t>Tenant identifiers are used to scope company records and storage paths. This is logical separation within shared resources; production authorization and isolation require validation before rollout.</w:t>
      </w:r>
    </w:p>
    <w:p>
      <w:pPr>
        <w:pStyle w:val="Heading2"/>
      </w:pPr>
      <w:r>
        <w:t>Two-factor authentication</w:t>
      </w:r>
    </w:p>
    <w:p>
      <w:r>
        <w:t>Email one-time codes provide an additional verification step when two-factor authentication is enabled. Account pages support managing this setting.</w:t>
      </w:r>
    </w:p>
    <w:p>
      <w:pPr>
        <w:pStyle w:val="Heading2"/>
      </w:pPr>
      <w:r>
        <w:t>Protection of SIN records</w:t>
      </w:r>
    </w:p>
    <w:p>
      <w:r>
        <w:t>SIN values are encrypted. A keyed hash supports duplicate detection without using the original SIN as the lookup value.</w:t>
      </w:r>
    </w:p>
    <w:p>
      <w:pPr>
        <w:pStyle w:val="Heading2"/>
      </w:pPr>
      <w:r>
        <w:t>Protection of stored files</w:t>
      </w:r>
    </w:p>
    <w:p>
      <w:r>
        <w:t>Uploaded file content is encrypted before storage and decrypted for authorized retrieval.</w:t>
      </w:r>
    </w:p>
    <w:p>
      <w:pPr>
        <w:pStyle w:val="Heading2"/>
      </w:pPr>
      <w:r>
        <w:t>Upload controls</w:t>
      </w:r>
    </w:p>
    <w:p>
      <w:r>
        <w:t>File size, permitted extensions and content types are checked. These checks do not establish malware scanning.</w:t>
      </w:r>
    </w:p>
    <w:p>
      <w:pPr>
        <w:pStyle w:val="Heading2"/>
      </w:pPr>
      <w:r>
        <w:t>Signature records</w:t>
      </w:r>
    </w:p>
    <w:p>
      <w:r>
        <w:t>Signature workflows retain status, relevant timestamps, signer information, consent and document-hash information, with recorded signature events.</w:t>
      </w:r>
    </w:p>
    <w:p>
      <w:r>
        <w:t>Encryption keys, hosting configuration, backups, monitoring and operational access must be managed as part of the deployment. A separate Security &amp; Data Protection Overview will explain these responsibilities in more detail.</w:t>
      </w:r>
    </w:p>
    <w:p>
      <w:pPr>
        <w:pStyle w:val="Heading1"/>
      </w:pPr>
      <w:r>
        <w:t>A typical client workflow</w:t>
      </w:r>
    </w:p>
    <w:p>
      <w:pPr>
        <w:pStyle w:val="ListNumber"/>
      </w:pPr>
      <w:r>
        <w:t>A client registers or is created by staff and receives access to the client portal.</w:t>
      </w:r>
    </w:p>
    <w:p>
      <w:pPr>
        <w:pStyle w:val="ListNumber"/>
      </w:pPr>
      <w:r>
        <w:t>Staff create a tax case and associate the relevant documents.</w:t>
      </w:r>
    </w:p>
    <w:p>
      <w:pPr>
        <w:pStyle w:val="ListNumber"/>
      </w:pPr>
      <w:r>
        <w:t>Staff request a signature when needed; the client views and signs or declines.</w:t>
      </w:r>
    </w:p>
    <w:p>
      <w:pPr>
        <w:pStyle w:val="ListNumber"/>
      </w:pPr>
      <w:r>
        <w:t>Staff prepare and issue an invoice; the client reviews it in the portal.</w:t>
      </w:r>
    </w:p>
    <w:p>
      <w:pPr>
        <w:pStyle w:val="ListNumber"/>
      </w:pPr>
      <w:r>
        <w:t>Online payment and payment confirmation are included when the Stripe workflow has completed validation.</w:t>
      </w:r>
    </w:p>
    <w:p>
      <w:pPr>
        <w:pStyle w:val="Heading1"/>
      </w:pPr>
      <w:r>
        <w:t>Delivery status and planned additions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Status for this draft</w:t>
            </w:r>
          </w:p>
        </w:tc>
      </w:tr>
      <w:tr>
        <w:tc>
          <w:tcPr>
            <w:tcW w:type="dxa" w:w="4320"/>
          </w:tcPr>
          <w:p>
            <w:r>
              <w:t>Core records, portals and security features</w:t>
            </w:r>
          </w:p>
        </w:tc>
        <w:tc>
          <w:tcPr>
            <w:tcW w:type="dxa" w:w="4320"/>
          </w:tcPr>
          <w:p>
            <w:r>
              <w:t>Implemented in the development history; confirm against the current release before a customer commitment.</w:t>
            </w:r>
          </w:p>
        </w:tc>
      </w:tr>
      <w:tr>
        <w:tc>
          <w:tcPr>
            <w:tcW w:type="dxa" w:w="4320"/>
          </w:tcPr>
          <w:p>
            <w:r>
              <w:t>Electronic signatures</w:t>
            </w:r>
          </w:p>
        </w:tc>
        <w:tc>
          <w:tcPr>
            <w:tcW w:type="dxa" w:w="4320"/>
          </w:tcPr>
          <w:p>
            <w:r>
              <w:t>Implemented workflow; 8 integration tests were reported passing. This is workflow evidence, not legal certification.</w:t>
            </w:r>
          </w:p>
        </w:tc>
      </w:tr>
      <w:tr>
        <w:tc>
          <w:tcPr>
            <w:tcW w:type="dxa" w:w="4320"/>
          </w:tcPr>
          <w:p>
            <w:r>
              <w:t>Invoices and payment administration</w:t>
            </w:r>
          </w:p>
        </w:tc>
        <w:tc>
          <w:tcPr>
            <w:tcW w:type="dxa" w:w="4320"/>
          </w:tcPr>
          <w:p>
            <w:r>
              <w:t>Invoice backend and portal work has progressed. Current payment administration behavior needs release review.</w:t>
            </w:r>
          </w:p>
        </w:tc>
      </w:tr>
      <w:tr>
        <w:tc>
          <w:tcPr>
            <w:tcW w:type="dxa" w:w="4320"/>
          </w:tcPr>
          <w:p>
            <w:r>
              <w:t>Stripe online payments</w:t>
            </w:r>
          </w:p>
        </w:tc>
        <w:tc>
          <w:tcPr>
            <w:tcW w:type="dxa" w:w="4320"/>
          </w:tcPr>
          <w:p>
            <w:r>
              <w:t>Integration in progress / final verification required. Not presented here as production-ready.</w:t>
            </w:r>
          </w:p>
        </w:tc>
      </w:tr>
      <w:tr>
        <w:tc>
          <w:tcPr>
            <w:tcW w:type="dxa" w:w="4320"/>
          </w:tcPr>
          <w:p>
            <w:r>
              <w:t>Notifications and reminders</w:t>
            </w:r>
          </w:p>
        </w:tc>
        <w:tc>
          <w:tcPr>
            <w:tcW w:type="dxa" w:w="4320"/>
          </w:tcPr>
          <w:p>
            <w:r>
              <w:t>Account-related email flows exist; broader case, document, signature and billing notifications are planned.</w:t>
            </w:r>
          </w:p>
        </w:tc>
      </w:tr>
      <w:tr>
        <w:tc>
          <w:tcPr>
            <w:tcW w:type="dxa" w:w="4320"/>
          </w:tcPr>
          <w:p>
            <w:r>
              <w:t>Production deployment</w:t>
            </w:r>
          </w:p>
        </w:tc>
        <w:tc>
          <w:tcPr>
            <w:tcW w:type="dxa" w:w="4320"/>
          </w:tcPr>
          <w:p>
            <w:r>
              <w:t>Hosting, backup/restore validation, monitoring and production security checks remain rollout work.</w:t>
            </w:r>
          </w:p>
        </w:tc>
      </w:tr>
    </w:tbl>
    <w:p>
      <w:pPr>
        <w:pStyle w:val="Heading1"/>
      </w:pPr>
      <w:r>
        <w:t>Scope for a first deployment</w:t>
      </w:r>
    </w:p>
    <w:p>
      <w:r>
        <w:t>Agree the staff users and roles, client onboarding approach, supported document types, invoice tax configuration, branding and hosting arrangement. Validate a complete client workflow and access boundaries before introducing real client data. Subscription or licence fees, support terms and infrastructure costs will be defined separately.</w:t>
      </w:r>
    </w:p>
    <w:p>
      <w:pPr>
        <w:pStyle w:val="Heading1"/>
      </w:pPr>
      <w:r>
        <w:t>Document basis</w:t>
      </w:r>
    </w:p>
    <w:p>
      <w:r>
        <w:t>Prepared from the supplied project archives and recorded development progress through 5 October 2026. The supplied archives predate several recent features. Recent invoice and payment file references could be resolved but their contents were not readable during this review. This is a product discussion draft, not a complete code audit, security assessment or acceptance report. A current consolidated source snapshot is needed to finalize release claims.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TaxServices • Service Catalog • Discussion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TaxServices  |  Product &amp; Service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