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Security &amp; Data Protection</w:t>
      </w:r>
    </w:p>
    <w:p>
      <w:pPr>
        <w:pStyle w:val="Subtitle"/>
      </w:pPr>
      <w:r>
        <w:t>Technical overview for accounting and tax firms</w:t>
      </w:r>
    </w:p>
    <w:p>
      <w:r>
        <w:t>Version 1.0 • Marketing support draft • 6 October 2026</w:t>
      </w:r>
    </w:p>
    <w:p>
      <w:pPr>
        <w:pStyle w:val="Heading1"/>
      </w:pPr>
      <w:r>
        <w:t>Product security at a glance</w:t>
      </w:r>
    </w:p>
    <w:p>
      <w:r>
        <w:t>TaxServices combines authenticated client and staff portals, role-based permissions, company-scoped records, email two-factor authentication, encrypted SIN storage and encrypted document content. Electronic signature workflows retain consent, status and event information. Together, these capabilities support the handling of sensitive tax-service information and help firms explain how client access and records are managed.</w:t>
      </w:r>
    </w:p>
    <w:p>
      <w:r>
        <w:t>This document explains product controls and their business relevance. It distinguishes source-reviewed controls, controls reported implemented during development, and deployment requirements. It does not represent an independent security audit or certification.</w:t>
      </w:r>
    </w:p>
    <w:p>
      <w:pPr>
        <w:pStyle w:val="Heading1"/>
      </w:pPr>
      <w:r>
        <w:t>Control summary</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Control</w:t>
            </w:r>
          </w:p>
        </w:tc>
        <w:tc>
          <w:tcPr>
            <w:tcW w:type="dxa" w:w="2880"/>
          </w:tcPr>
          <w:p>
            <w:r>
              <w:t>Technical mechanism</w:t>
            </w:r>
          </w:p>
        </w:tc>
        <w:tc>
          <w:tcPr>
            <w:tcW w:type="dxa" w:w="2880"/>
          </w:tcPr>
          <w:p>
            <w:r>
              <w:t>Evidence status</w:t>
            </w:r>
          </w:p>
        </w:tc>
      </w:tr>
      <w:tr>
        <w:tc>
          <w:tcPr>
            <w:tcW w:type="dxa" w:w="2880"/>
          </w:tcPr>
          <w:p>
            <w:r>
              <w:t>Authentication</w:t>
            </w:r>
          </w:p>
        </w:tc>
        <w:tc>
          <w:tcPr>
            <w:tcW w:type="dxa" w:w="2880"/>
          </w:tcPr>
          <w:p>
            <w:r>
              <w:t>ASP.NET Core Identity; signed JWT bearer tokens</w:t>
            </w:r>
          </w:p>
        </w:tc>
        <w:tc>
          <w:tcPr>
            <w:tcW w:type="dxa" w:w="2880"/>
          </w:tcPr>
          <w:p>
            <w:r>
              <w:t>Reviewed in supplied v3 source</w:t>
            </w:r>
          </w:p>
        </w:tc>
      </w:tr>
      <w:tr>
        <w:tc>
          <w:tcPr>
            <w:tcW w:type="dxa" w:w="2880"/>
          </w:tcPr>
          <w:p>
            <w:r>
              <w:t>Access permissions</w:t>
            </w:r>
          </w:p>
        </w:tc>
        <w:tc>
          <w:tcPr>
            <w:tcW w:type="dxa" w:w="2880"/>
          </w:tcPr>
          <w:p>
            <w:r>
              <w:t>Admin / Employee / Client roles; protected API operations</w:t>
            </w:r>
          </w:p>
        </w:tc>
        <w:tc>
          <w:tcPr>
            <w:tcW w:type="dxa" w:w="2880"/>
          </w:tcPr>
          <w:p>
            <w:r>
              <w:t>Reviewed examples in v3 source</w:t>
            </w:r>
          </w:p>
        </w:tc>
      </w:tr>
      <w:tr>
        <w:tc>
          <w:tcPr>
            <w:tcW w:type="dxa" w:w="2880"/>
          </w:tcPr>
          <w:p>
            <w:r>
              <w:t>Company separation</w:t>
            </w:r>
          </w:p>
        </w:tc>
        <w:tc>
          <w:tcPr>
            <w:tcW w:type="dxa" w:w="2880"/>
          </w:tcPr>
          <w:p>
            <w:r>
              <w:t>tenant_id claim; tenant-scoped data access</w:t>
            </w:r>
          </w:p>
        </w:tc>
        <w:tc>
          <w:tcPr>
            <w:tcW w:type="dxa" w:w="2880"/>
          </w:tcPr>
          <w:p>
            <w:r>
              <w:t>Architecture and reviewed examples; full endpoint coverage requires validation</w:t>
            </w:r>
          </w:p>
        </w:tc>
      </w:tr>
      <w:tr>
        <w:tc>
          <w:tcPr>
            <w:tcW w:type="dxa" w:w="2880"/>
          </w:tcPr>
          <w:p>
            <w:r>
              <w:t>Two-factor authentication</w:t>
            </w:r>
          </w:p>
        </w:tc>
        <w:tc>
          <w:tcPr>
            <w:tcW w:type="dxa" w:w="2880"/>
          </w:tcPr>
          <w:p>
            <w:r>
              <w:t>Email OTP verification and account settings</w:t>
            </w:r>
          </w:p>
        </w:tc>
        <w:tc>
          <w:tcPr>
            <w:tcW w:type="dxa" w:w="2880"/>
          </w:tcPr>
          <w:p>
            <w:r>
              <w:t>Reported implemented</w:t>
            </w:r>
          </w:p>
        </w:tc>
      </w:tr>
      <w:tr>
        <w:tc>
          <w:tcPr>
            <w:tcW w:type="dxa" w:w="2880"/>
          </w:tcPr>
          <w:p>
            <w:r>
              <w:t>SIN protection</w:t>
            </w:r>
          </w:p>
        </w:tc>
        <w:tc>
          <w:tcPr>
            <w:tcW w:type="dxa" w:w="2880"/>
          </w:tcPr>
          <w:p>
            <w:r>
              <w:t>EncryptedSIN plus keyed HMAC-SHA256 SINHash</w:t>
            </w:r>
          </w:p>
        </w:tc>
        <w:tc>
          <w:tcPr>
            <w:tcW w:type="dxa" w:w="2880"/>
          </w:tcPr>
          <w:p>
            <w:r>
              <w:t>Reported implemented; current cryptography source not reviewed</w:t>
            </w:r>
          </w:p>
        </w:tc>
      </w:tr>
      <w:tr>
        <w:tc>
          <w:tcPr>
            <w:tcW w:type="dxa" w:w="2880"/>
          </w:tcPr>
          <w:p>
            <w:r>
              <w:t>Document protection</w:t>
            </w:r>
          </w:p>
        </w:tc>
        <w:tc>
          <w:tcPr>
            <w:tcW w:type="dxa" w:w="2880"/>
          </w:tcPr>
          <w:p>
            <w:r>
              <w:t>Application-level AES encryption of stored file content</w:t>
            </w:r>
          </w:p>
        </w:tc>
        <w:tc>
          <w:tcPr>
            <w:tcW w:type="dxa" w:w="2880"/>
          </w:tcPr>
          <w:p>
            <w:r>
              <w:t>Reported implemented; current cryptography source not reviewed</w:t>
            </w:r>
          </w:p>
        </w:tc>
      </w:tr>
      <w:tr>
        <w:tc>
          <w:tcPr>
            <w:tcW w:type="dxa" w:w="2880"/>
          </w:tcPr>
          <w:p>
            <w:r>
              <w:t>Signature evidence</w:t>
            </w:r>
          </w:p>
        </w:tc>
        <w:tc>
          <w:tcPr>
            <w:tcW w:type="dxa" w:w="2880"/>
          </w:tcPr>
          <w:p>
            <w:r>
              <w:t>Signer/consent metadata, document hash and workflow events</w:t>
            </w:r>
          </w:p>
        </w:tc>
        <w:tc>
          <w:tcPr>
            <w:tcW w:type="dxa" w:w="2880"/>
          </w:tcPr>
          <w:p>
            <w:r>
              <w:t>Reported implemented; 8 integration tests reported passing</w:t>
            </w:r>
          </w:p>
        </w:tc>
      </w:tr>
      <w:tr>
        <w:tc>
          <w:tcPr>
            <w:tcW w:type="dxa" w:w="2880"/>
          </w:tcPr>
          <w:p>
            <w:r>
              <w:t>Production operations</w:t>
            </w:r>
          </w:p>
        </w:tc>
        <w:tc>
          <w:tcPr>
            <w:tcW w:type="dxa" w:w="2880"/>
          </w:tcPr>
          <w:p>
            <w:r>
              <w:t>TLS, secret management, backups, monitoring and abuse controls</w:t>
            </w:r>
          </w:p>
        </w:tc>
        <w:tc>
          <w:tcPr>
            <w:tcW w:type="dxa" w:w="2880"/>
          </w:tcPr>
          <w:p>
            <w:r>
              <w:t>Deployment requirements; not verified</w:t>
            </w:r>
          </w:p>
        </w:tc>
      </w:tr>
    </w:tbl>
    <w:p>
      <w:pPr>
        <w:pStyle w:val="Heading1"/>
      </w:pPr>
      <w:r>
        <w:t>1. Identity and authenticated sessions</w:t>
      </w:r>
    </w:p>
    <w:p>
      <w:r>
        <w:t>The backend uses ASP.NET Core Identity for user accounts and password operations. Reviewed source delegates password creation, verification and password changes to Identity APIs rather than implementing an application-specific password comparison. The exact password-hash configuration and work factor of the current release have not been verified.</w:t>
      </w:r>
    </w:p>
    <w:p>
      <w:r>
        <w:t>After authentication, the API uses signed JSON Web Tokens (JWTs). Reviewed configuration validates the token issuer, audience, lifetime and signing key. Token generation includes the user identity, role information and a tenant_id claim. A signed token protects claim integrity; its payload is not a confidential storage location and should not contain SINs, passwords or document contents.</w:t>
      </w:r>
    </w:p>
    <w:p>
      <w:r>
        <w:t>The reviewed v3 password policy requires at least eight characters, including upper- and lowercase letters, a digit and a non-alphanumeric character. This is a historical configuration, not a commitment about the current production policy. Current session expiry, token storage, token revocation and account lockout behavior require release verification.</w:t>
      </w:r>
    </w:p>
    <w:p>
      <w:r>
        <w:t>Business relevance: the system can identify the account making a request and apply permissions before exposing client records.</w:t>
      </w:r>
    </w:p>
    <w:p>
      <w:pPr>
        <w:pStyle w:val="Heading1"/>
      </w:pPr>
      <w:r>
        <w:t>2. Role permissions and client ownership</w:t>
      </w:r>
    </w:p>
    <w:p>
      <w:r>
        <w:t>Admin, Employee and Client are the application roles. Reviewed tax-case controller code restricts staff operations to Admin/Employee and exposes separate client “me” operations. Client operations obtain the user identifier from the authenticated identity and pass it to the service layer. This is a concrete access-control pattern; the existence of protected routes in the browser alone is not proof that every backend operation is authorized correctly.</w:t>
      </w:r>
    </w:p>
    <w:p>
      <w:r>
        <w:t>Authorization must check both the type of action and the record being accessed. For example, a client document download must be restricted to the correct tenant and client, while a staff operation must be restricted to the staff member’s company. A GUID record identifier is not itself an access control. A release-wide review must cover list, detail, upload, download, assignment, signature and payment operations.</w:t>
      </w:r>
    </w:p>
    <w:p>
      <w:r>
        <w:t>Business relevance: separate portals and server-side permissions support different responsibilities for staff and clients.</w:t>
      </w:r>
    </w:p>
    <w:p>
      <w:pPr>
        <w:pStyle w:val="Heading1"/>
      </w:pPr>
      <w:r>
        <w:t>3. Multi-company data boundaries</w:t>
      </w:r>
    </w:p>
    <w:p>
      <w:r>
        <w:t>The product architecture supports a separate website/frontend deployment for each accounting firm while sharing backend resources. Domain records carry TenantId, and authenticated tenant context is associated with the tenant_id claim. Tenant-scoped queries and storage paths are intended to keep company records separated within shared infrastructure.</w:t>
      </w:r>
    </w:p>
    <w:p>
      <w:r>
        <w:t>The recorded storage convention is {TenantId}/{ClientId}/{StoredFileName}. The path organizes content; it does not independently authorize a download. Public registration cannot rely on an anonymous user’s JWT. The intended tenant must be established through a trusted company-site configuration and enforced on the server; the production mapping between site and tenant still needs review.</w:t>
      </w:r>
    </w:p>
    <w:p>
      <w:r>
        <w:t>This is logical separation, not a dedicated database, storage account or server per firm. All record relationships must also remain within a tenant. Cross-tenant tests and checks for missing or invalid tenant claims are necessary to establish the strength of this boundary in the current release.</w:t>
      </w:r>
    </w:p>
    <w:p>
      <w:pPr>
        <w:pStyle w:val="Heading1"/>
      </w:pPr>
      <w:r>
        <w:t>4. Email two-factor authentication</w:t>
      </w:r>
    </w:p>
    <w:p>
      <w:r>
        <w:t>The recorded implementation uses ASP.NET Identity email token providers. When two-factor authentication is enabled, login returns a requiresTwoFactor response and the user completes a separate verification step. Account security pages provide flows for enabling and disabling the feature with email verification. The frontend includes a resend cooldown.</w:t>
      </w:r>
    </w:p>
    <w:p>
      <w:r>
        <w:t>Email OTP adds a check beyond the account password. It depends on the security and availability of the email account and is not presented as phishing-resistant authentication. The current backend OTP expiry, attempt limits, resend limits and recovery behavior should be verified. Backend rate limiting remains a recorded improvement item; a browser cooldown alone does not prevent automated API requests.</w:t>
      </w:r>
    </w:p>
    <w:p>
      <w:r>
        <w:t>Business relevance: an additional verification step can reduce the likelihood that a password alone enables account access when the feature is enabled.</w:t>
      </w:r>
    </w:p>
    <w:p>
      <w:pPr>
        <w:pStyle w:val="Heading1"/>
      </w:pPr>
      <w:r>
        <w:t>5. SIN confidentiality and duplicate detection</w:t>
      </w:r>
    </w:p>
    <w:p>
      <w:r>
        <w:t>The recorded model stores EncryptedSIN and SINHash instead of a plaintext SIN column. SIN confidentiality uses reversible AES encryption so the application can recover the value when required. Duplicate detection uses a keyed HMAC-SHA256 value computed on the server. A unique index on (TenantId, SINHash) supports duplicate prevention within each company.</w:t>
      </w:r>
    </w:p>
    <w:p>
      <w:r>
        <w:t>The two values serve different purposes: encryption protects the stored value, while the keyed hash permits equality checks without querying the plaintext SIN. The hash is not anonymous data; identical normalized inputs produce matching values under the same key. Protection depends on keeping the relevant keys confidential. SINs have a limited input space, so key compromise materially changes the protection offered by the lookup hash.</w:t>
      </w:r>
    </w:p>
    <w:p>
      <w:r>
        <w:t>The latest encryption source was not available for review. AES key length, mode, IV/nonce generation, integrity protection, key separation and rotation are therefore unspecified here. Broad claims such as “AES-256 authenticated encryption” should only be made after reviewing those details. UI masking and full-SIN disclosure permissions also require current-release verification.</w:t>
      </w:r>
    </w:p>
    <w:p>
      <w:pPr>
        <w:pStyle w:val="Heading1"/>
      </w:pPr>
      <w:r>
        <w:t>6. Document confidentiality and upload controls</w:t>
      </w:r>
    </w:p>
    <w:p>
      <w:r>
        <w:t>The reported file workflow encrypts content before it is stored in Azure Blob Storage and decrypts content for an authorized retrieval. This is application-level protection of stored file bytes. It does not mean every database column or every filename and metadata field is encrypted, and it is not end-to-end encryption: the application performs encryption and decryption and can access plaintext during processing.</w:t>
      </w:r>
    </w:p>
    <w:p>
      <w:r>
        <w:t>Recorded upload validation checks permitted file extensions, content types and a default size limit of 10 MB. Supported types expanded from PDF and common images to Word and Excel documents during development. Exact current allowances should be confirmed before promising a file format. Extension and content-type checks are not evidence of malware scanning or safe document rendering.</w:t>
      </w:r>
    </w:p>
    <w:p>
      <w:r>
        <w:t>Operational review must confirm private blob access, authorized download behavior, temporary plaintext handling, maximum memory consumption and preservation of encryption keys. Backups containing ciphertext may become unusable if their keys are lost; key recovery and data recovery must be planned together.</w:t>
      </w:r>
    </w:p>
    <w:p>
      <w:pPr>
        <w:pStyle w:val="Heading1"/>
      </w:pPr>
      <w:r>
        <w:t>7. Electronic signature evidence</w:t>
      </w:r>
    </w:p>
    <w:p>
      <w:r>
        <w:t>The recorded DocumentSignature model includes a document hash, signer name, signature text, consent acceptance and timestamps such as RequestedAt, ViewedAt and SignedAt. The workflow supports Pending, Signed, Declined and Cancelled states. Staff request or cancel signatures; clients view, sign or decline. Operations on a request that is no longer pending return a conflict response.</w:t>
      </w:r>
    </w:p>
    <w:p>
      <w:r>
        <w:t>Recorded integration tests covered signing, declining, cancellation, duplicate actions, requesting again after cancellation, audit events and tenant isolation. Eight tests were reported passing, using SQLite, test authentication and a fake Azure Blob dependency. This is useful workflow evidence, but it does not establish live cloud security, full-system penetration-test coverage or legal suitability for every document type.</w:t>
      </w:r>
    </w:p>
    <w:p>
      <w:r>
        <w:t>A stored document hash provides a reference for comparing document bytes when verification is performed. Its presence alone does not establish immutable evidence, a trusted timestamp, a certificate-backed digital signature or a tamper-proof audit log. This document describes an electronic signature workflow; acceptance for a particular tax form or legal process must be assessed separately.</w:t>
      </w:r>
    </w:p>
    <w:p>
      <w:pPr>
        <w:pStyle w:val="Heading1"/>
      </w:pPr>
      <w:r>
        <w:t>8. Payment security boundary</w:t>
      </w:r>
    </w:p>
    <w:p>
      <w:r>
        <w:t>Stripe integration is in progress and requires final validation. The intended payment approach must be reviewed to establish where payment details are collected, what data the application stores, how webhook signatures are validated and how duplicate events are handled. A browser success redirect alone must not be treated as final payment confirmation.</w:t>
      </w:r>
    </w:p>
    <w:p>
      <w:r>
        <w:t>No claim is made here that the current application never handles card data or satisfies a particular PCI requirement. These statements depend on the final integration and the firm’s operational setup.</w:t>
      </w:r>
    </w:p>
    <w:p>
      <w:pPr>
        <w:pStyle w:val="Heading1"/>
      </w:pPr>
      <w:r>
        <w:t>9. Deployment and operational responsibilities</w:t>
      </w:r>
    </w:p>
    <w:p>
      <w:r>
        <w:t>Product controls need a correctly configured environment. The following items define the remaining operational scope; they are not presented as already deployed services.</w:t>
      </w:r>
    </w:p>
    <w:p>
      <w:pPr>
        <w:pStyle w:val="ListBullet"/>
      </w:pPr>
      <w:r>
        <w:t>Transport: enforce HTTPS for both portals and API; verify TLS termination and secure storage connections.</w:t>
      </w:r>
    </w:p>
    <w:p>
      <w:pPr>
        <w:pStyle w:val="ListBullet"/>
      </w:pPr>
      <w:r>
        <w:t>Secrets: keep JWT signing secrets, encryption keys, email credentials and payment secrets outside distributed source and client bundles. Development user secrets do not establish production key custody.</w:t>
      </w:r>
    </w:p>
    <w:p>
      <w:pPr>
        <w:pStyle w:val="ListBullet"/>
      </w:pPr>
      <w:r>
        <w:t>Recovery: configure database and document backups, document retention requirements and perform restore tests that include access to encryption keys.</w:t>
      </w:r>
    </w:p>
    <w:p>
      <w:pPr>
        <w:pStyle w:val="ListBullet"/>
      </w:pPr>
      <w:r>
        <w:t>Monitoring: establish access and error monitoring without recording SINs, credentials, OTPs, tokens or decrypted files in logs.</w:t>
      </w:r>
    </w:p>
    <w:p>
      <w:pPr>
        <w:pStyle w:val="ListBullet"/>
      </w:pPr>
      <w:r>
        <w:t>Abuse prevention: verify login, OTP, reset and upload rate limits and account lockout behavior.</w:t>
      </w:r>
    </w:p>
    <w:p>
      <w:pPr>
        <w:pStyle w:val="ListBullet"/>
      </w:pPr>
      <w:r>
        <w:t>Maintenance: patch application and infrastructure dependencies, review operator permissions, and define security incident contacts and response procedures.</w:t>
      </w:r>
    </w:p>
    <w:p>
      <w:pPr>
        <w:pStyle w:val="ListBullet"/>
      </w:pPr>
      <w:r>
        <w:t>Residency and retention: confirm selected hosting regions, all supporting service locations, deletion behavior and retention terms before making contractual commitments.</w:t>
      </w:r>
    </w:p>
    <w:p>
      <w:pPr>
        <w:pStyle w:val="Heading1"/>
      </w:pPr>
      <w:r>
        <w:t>10. Statements for customer conversations</w:t>
      </w:r>
    </w:p>
    <w:p>
      <w:r>
        <w:t>Suggested wording after confirming the relevant release features:</w:t>
      </w:r>
    </w:p>
    <w:p>
      <w:r>
        <w:t>“TaxServices uses role-based access, company-scoped records, optional email two-factor authentication, encrypted SIN storage and encrypted document content to support the handling of sensitive client information. Its electronic signature workflow records consent, status and relevant events. Hosting and operational controls are defined for each deployment.”</w:t>
      </w:r>
    </w:p>
    <w:p>
      <w:r>
        <w:t>Do not describe the product as independently certified, CRA-approved, SOC 2 certified, ISO 27001 certified, fully privacy-law compliant, end-to-end encrypted or tamper-proof without separate evidence. Canadian hosting is also a deployment choice that must be confirmed across supporting services.</w:t>
      </w:r>
    </w:p>
    <w:p>
      <w:pPr>
        <w:pStyle w:val="Heading2"/>
      </w:pPr>
      <w:r>
        <w:t>Buyer questions and concrete answers</w:t>
      </w:r>
    </w:p>
    <w:tbl>
      <w:tblPr>
        <w:tblStyle w:val="LightShading-Accent1"/>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Answer supported by this draft</w:t>
            </w:r>
          </w:p>
        </w:tc>
      </w:tr>
      <w:tr>
        <w:tc>
          <w:tcPr>
            <w:tcW w:type="dxa" w:w="4320"/>
          </w:tcPr>
          <w:p>
            <w:r>
              <w:t>Are SINs stored as plaintext?</w:t>
            </w:r>
          </w:p>
        </w:tc>
        <w:tc>
          <w:tcPr>
            <w:tcW w:type="dxa" w:w="4320"/>
          </w:tcPr>
          <w:p>
            <w:r>
              <w:t>The recorded implementation stores encrypted values and a keyed lookup hash. Current cryptographic details require source verification.</w:t>
            </w:r>
          </w:p>
        </w:tc>
      </w:tr>
      <w:tr>
        <w:tc>
          <w:tcPr>
            <w:tcW w:type="dxa" w:w="4320"/>
          </w:tcPr>
          <w:p>
            <w:r>
              <w:t>Does each firm receive its own database?</w:t>
            </w:r>
          </w:p>
        </w:tc>
        <w:tc>
          <w:tcPr>
            <w:tcW w:type="dxa" w:w="4320"/>
          </w:tcPr>
          <w:p>
            <w:r>
              <w:t>The current design shares backend resources and separates data logically through TenantId.</w:t>
            </w:r>
          </w:p>
        </w:tc>
      </w:tr>
      <w:tr>
        <w:tc>
          <w:tcPr>
            <w:tcW w:type="dxa" w:w="4320"/>
          </w:tcPr>
          <w:p>
            <w:r>
              <w:t>Can staff view sensitive information?</w:t>
            </w:r>
          </w:p>
        </w:tc>
        <w:tc>
          <w:tcPr>
            <w:tcW w:type="dxa" w:w="4320"/>
          </w:tcPr>
          <w:p>
            <w:r>
              <w:t>Access depends on permissions and application flows; encryption does not prevent authorized server-side decryption.</w:t>
            </w:r>
          </w:p>
        </w:tc>
      </w:tr>
      <w:tr>
        <w:tc>
          <w:tcPr>
            <w:tcW w:type="dxa" w:w="4320"/>
          </w:tcPr>
          <w:p>
            <w:r>
              <w:t>Are all actions audited?</w:t>
            </w:r>
          </w:p>
        </w:tc>
        <w:tc>
          <w:tcPr>
            <w:tcW w:type="dxa" w:w="4320"/>
          </w:tcPr>
          <w:p>
            <w:r>
              <w:t>Signature event records are reported implemented. A complete audit trail for every system action has not been established.</w:t>
            </w:r>
          </w:p>
        </w:tc>
      </w:tr>
      <w:tr>
        <w:tc>
          <w:tcPr>
            <w:tcW w:type="dxa" w:w="4320"/>
          </w:tcPr>
          <w:p>
            <w:r>
              <w:t>Where is data hosted?</w:t>
            </w:r>
          </w:p>
        </w:tc>
        <w:tc>
          <w:tcPr>
            <w:tcW w:type="dxa" w:w="4320"/>
          </w:tcPr>
          <w:p>
            <w:r>
              <w:t>Production hosting regions and supporting services have not yet been finalized or verified.</w:t>
            </w:r>
          </w:p>
        </w:tc>
      </w:tr>
      <w:tr>
        <w:tc>
          <w:tcPr>
            <w:tcW w:type="dxa" w:w="4320"/>
          </w:tcPr>
          <w:p>
            <w:r>
              <w:t>Has the system passed a security audit?</w:t>
            </w:r>
          </w:p>
        </w:tc>
        <w:tc>
          <w:tcPr>
            <w:tcW w:type="dxa" w:w="4320"/>
          </w:tcPr>
          <w:p>
            <w:r>
              <w:t>No independent audit or certification is evidenced by the materials reviewed.</w:t>
            </w:r>
          </w:p>
        </w:tc>
      </w:tr>
    </w:tbl>
    <w:p>
      <w:pPr>
        <w:pStyle w:val="Heading1"/>
      </w:pPr>
      <w:r>
        <w:t>Evidence and release verification</w:t>
      </w:r>
    </w:p>
    <w:p>
      <w:r>
        <w:t>Source-reviewed evidence: supplied TaxServices v3 archive, particularly Infrastructure/DependencyInjection.cs, Identity/Services/JwtTokenService.cs, Identity/Services/AuthService.cs, Application/Services/TenantContext.cs and Api/Controllers/TaxCasesController.cs. These files establish historical patterns, not the complete current release.</w:t>
      </w:r>
    </w:p>
    <w:p>
      <w:r>
        <w:t>Reported implementation evidence: development records from late September and early October 2026 for SIN encryption/HMAC, file encryption, 2FA and the signature workflow and integration-test results. A current ClientService.cs reference was located, but its content was not readable during this review; search excerpts were not treated as verified source.</w:t>
      </w:r>
    </w:p>
    <w:p>
      <w:r>
        <w:t>Before distributing this as a final release specification, review a consolidated current source snapshot, verify cryptographic parameters and key management, exercise cross-tenant and client ownership boundaries, and document the deployed hosting and recovery configuration. This draft is suitable for technical product discussions with its evidence qualifications retained.</w:t>
      </w:r>
    </w:p>
    <w:sectPr w:rsidR="00FC693F" w:rsidRPr="0006063C" w:rsidSect="00034616">
      <w:headerReference w:type="default" r:id="rId9"/>
      <w:footerReference w:type="default" r:id="rId10"/>
      <w:pgSz w:w="12240" w:h="15840"/>
      <w:pgMar w:top="1080" w:right="1800" w:bottom="108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TaxServices • Technical Security Overview • Marketing support draft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TaxServices | Technical Security Overview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