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5,709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5, supplied as separate files. </w:t>
      </w:r>
      <w:r>
        <w:rPr>
          <w:b/>
          <w:bCs/>
        </w:rPr>
        <w:t xml:space="preserve">References</w:t>
      </w:r>
      <w:r>
        <w:t xml:space="preserve"> 14.</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consumed 899 litres of water and emitted 0.59 kg CO2e per episode, 69,700 m³ and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consumes 899 litres of water and emits 0.59 kg CO2e per episode.</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[6].</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[7].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[8]. Sensitivity used the full spread across paper grades in 252 mills, 608 to 1978 kg CO2e per tonne, and the narrower interquartile range for Kraft-based paper, 688 to 1004 [9]. The factor covers paper manufacture only: printing energy, transport, decades of archive conditioning and end-of-life destruction are all excluded, so the emissions reported here are a floor in the same direction as the monetary ones. </w:t>
      </w:r>
      <w:r>
        <w:rPr>
          <w:b/>
          <w:bCs/>
        </w:rPr>
        <w:t xml:space="preserve">Water.</w:t>
      </w:r>
      <w:r>
        <w:t xml:space="preserve"> Paper mass was converted to consumptive (green plus blue) water using 300 to 2600 m³ per tonne, the published range for printing and writing paper accounting for current recovery rates [10]. The source gives a range rather than a central value; we use its midpoint of 1450 m³ per tonne as the point estimate and carry the full range through every reported figure. Grey water, the volume needed to dilute effluent, is not included.</w:t>
      </w:r>
    </w:p>
    <w:p>
      <w:pPr>
        <w:spacing w:after="160" w:line="320"/>
      </w:pPr>
      <w:r>
        <w:t xml:space="preserve">We report these two indicators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live births in 2024 [11])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Environmental footprint</w:t>
      </w:r>
    </w:p>
    <w:p>
      <w:pPr>
        <w:spacing w:after="160" w:line="320"/>
      </w:pPr>
      <w:r>
        <w:t xml:space="preserve">Current practice consumes </w:t>
      </w:r>
      <w:r>
        <w:rPr>
          <w:b/>
          <w:bCs/>
        </w:rPr>
        <w:t xml:space="preserve">899 litres of water and emits 0.59 kg CO2e per care episode</w:t>
      </w:r>
      <w:r>
        <w:t xml:space="preserve">. Nationally this is </w:t>
      </w:r>
      <w:r>
        <w:rPr>
          <w:b/>
          <w:bCs/>
        </w:rPr>
        <w:t xml:space="preserve">69,700 m³ of water per year</w:t>
      </w:r>
      <w:r>
        <w:t xml:space="preserve"> (range 14,400 to 124,900 across the published factor range) and </w:t>
      </w:r>
      <w:r>
        <w:rPr>
          <w:b/>
          <w:bCs/>
        </w:rPr>
        <w:t xml:space="preserve">45.7 tonnes CO2e</w:t>
      </w:r>
      <w:r>
        <w:t xml:space="preserve"> (29.2 to 95.1); at departmental scale, 1,798 m³ and 1.2 tonnes. Figure 5 gives both by scenario.</w:t>
      </w:r>
    </w:p>
    <w:p>
      <w:pPr>
        <w:spacing w:after="160" w:line="320"/>
      </w:pPr>
      <w:r>
        <w:t xml:space="preserve">The two indicators behave identically because both are driven by paper mass: duplex printing removes 45% of each, electronic report delivery 78%, and a paperless pathway 94%. Their absolute sizes differ in how much they will impress a reader. The greenhouse-gas figure is small — 45.7 tonnes CO2e a year for an entire national obstetric service — and we say so rather than dress it up; on its own it is not a reason to change the pathway. The water figure is the more arresting of the two: </w:t>
      </w:r>
      <w:r>
        <w:rPr>
          <w:b/>
          <w:bCs/>
        </w:rPr>
        <w:t xml:space="preserve">nearly a cubic metre of water per pregnancy documented</w:t>
      </w:r>
      <w:r>
        <w:t xml:space="preserve">, and a national annual volume equivalent to about 28 Olympic swimming pools, consumed to manufacture paper most of which duplicates data already held electronically.</w:t>
      </w:r>
    </w:p>
    <w:p>
      <w:pPr>
        <w:spacing w:after="160" w:line="320"/>
      </w:pPr>
      <w:r>
        <w:t xml:space="preserve">Both are reported because sustainability reporting increasingly requires these units, and because they point the same way as every other outcome in this study: the reduction tracks the number of pages printed, so the intervention that stops printing copies of electronic results removes roughly four-fifths of the environmental burden along with four-fifths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The environmental footprint — 899 litres of water and 0.59 kg CO2e per episode — is reported because sustainability reporting requires those units and because it moves with the same lever; the emissions figure in particular is small in absolute terms and does not carry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[12,13].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[14].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The environmental figures are factor-based estimates, not a life-cycle assessment.</w:t>
      </w:r>
      <w:r>
        <w:t xml:space="preserve"> Single published factors are applied to paper mass. Printing energy, transport, decades of archive conditioning and end-of-life destruction are excluded from both indicators, and grey water is excluded from the water figure. The published spreads are wide — 608 to 1978 kg CO2e per tonne and 300 to 2600 m³ per tonne — and the water factor has no published central value, so we used the midpoint of its range. Both indicators are therefore orders of magnitude rather than measurements, and Figure 5 shows the full range rather than the point estimate alone. Land use was considered and omitted for want of a factor we were willing to cite.</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7. Nemzeti Adó- és Vámhivatal. Property valuation for the archive site, 1 560 000 HUF/m2. ⟦Add valuation reference and date.⟧</w:t>
      </w:r>
    </w:p>
    <w:p>
      <w:pPr>
        <w:spacing w:after="100" w:line="300"/>
        <w:ind w:left="420" w:hanging="420"/>
      </w:pPr>
      <w:r>
        <w:t xml:space="preserve">8.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9. Tomberlin KE, Venditti R, Yao Y. Life cycle carbon footprint analysis of pulp and paper grades in the United States using production-line-based data and integration. BioResources 2020;15:3899-914. doi:10.15376/biores.15.2.3899-3914</w:t>
      </w:r>
    </w:p>
    <w:p>
      <w:pPr>
        <w:spacing w:after="100" w:line="300"/>
        <w:ind w:left="420" w:hanging="420"/>
      </w:pPr>
      <w:r>
        <w:t xml:space="preserve">10. van Oel PR, Hoekstra AY. Towards quantification of the water footprint of paper: a first estimate of its consumptive component. Water Resour Manag 2012;26:733-49. doi:10.1007/s11269-011-9942-7</w:t>
      </w:r>
    </w:p>
    <w:p>
      <w:pPr>
        <w:spacing w:after="100" w:line="300"/>
        <w:ind w:left="420" w:hanging="420"/>
      </w:pPr>
      <w:r>
        <w:t xml:space="preserve">11. Hungarian Central Statistical Office. Live births, total fertility rate. Budapest: KSH 2025. ⟦Add stadat table URL and accessed date.⟧</w:t>
      </w:r>
    </w:p>
    <w:p>
      <w:pPr>
        <w:spacing w:after="100" w:line="300"/>
        <w:ind w:left="420" w:hanging="420"/>
      </w:pPr>
      <w:r>
        <w:t xml:space="preserve">12.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13.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14. Bujold E. You have been hacked! Ann Fam Med 2023;21:85-7. doi:10.1370/afm.2906</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(n = 100). Dashed line, mean 131.3 pages. The distribution is symmetric and narrow (IQR 124 to 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 per year) the same scenarios correspond to 1.24, 0.68, 0.27 and 0.08 tonnes per year.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spacing w:after="160" w:line="320"/>
      </w:pPr>
      <w:r>
        <w:rPr>
          <w:b/>
          <w:bCs/>
        </w:rPr>
        <w:t xml:space="preserve">Figure 5.</w:t>
      </w:r>
      <w:r>
        <w:t xml:space="preserve"> Environmental footprint of paper manufacture by scenario, at national scale (77,500 care episodes per year). Greenhouse-gas emissions and water consumption are shown in separate panels because they are measured on different scales. Bars are the point estimate; whiskers span the full published factor range, which is the dominant uncertainty in both indicators. At departmental scale (2,000 episodes per year) the values are 1/38.75 of those shown.</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space and environmental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2026-09-05T16:28:18.660Z</dcterms:created>
  <dcterms:modified xsi:type="dcterms:W3CDTF">2026-09-05T16:28:18.660Z</dcterms:modified>
</cp:coreProperties>
</file>

<file path=docProps/custom.xml><?xml version="1.0" encoding="utf-8"?>
<Properties xmlns="http://schemas.openxmlformats.org/officeDocument/2006/custom-properties" xmlns:vt="http://schemas.openxmlformats.org/officeDocument/2006/docPropsVTypes"/>
</file>