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line="320"/>
      </w:pPr>
      <w:r>
        <w:rPr>
          <w:b/>
          <w:bCs/>
          <w:sz w:val="30"/>
          <w:szCs w:val="30"/>
        </w:rPr>
        <w:t xml:space="preserve">Supplementary material</w:t>
      </w:r>
    </w:p>
    <w:p>
      <w:pPr>
        <w:spacing w:after="160" w:line="320"/>
      </w:pPr>
      <w:r>
        <w:t xml:space="preserve">Paper consumption in obstetric and antenatal documentation: a micro-costing study with national extrapolation</w:t>
      </w:r>
    </w:p>
    <w:p>
      <w:pPr>
        <w:pBdr>
          <w:bottom w:val="single" w:color="CCCCCC" w:sz="6"/>
        </w:pBdr>
        <w:spacing w:after="200" w:before="200"/>
      </w:pPr>
    </w:p>
    <w:p>
      <w:pPr>
        <w:pStyle w:val="Heading1"/>
        <w:spacing w:after="200" w:before="400"/>
      </w:pPr>
      <w:r>
        <w:rPr>
          <w:b/>
          <w:bCs/>
          <w:sz w:val="24"/>
          <w:szCs w:val="24"/>
        </w:rPr>
        <w:t xml:space="preserve">SUPPLEMENTARY METHODS</w:t>
      </w:r>
    </w:p>
    <w:p>
      <w:pPr>
        <w:pStyle w:val="Heading2"/>
        <w:spacing w:after="140" w:before="280"/>
      </w:pPr>
      <w:r>
        <w:rPr>
          <w:b/>
          <w:bCs/>
          <w:sz w:val="22"/>
          <w:szCs w:val="22"/>
        </w:rPr>
        <w:t xml:space="preserve">Derivation of physical quantities</w:t>
      </w:r>
    </w:p>
    <w:p>
      <w:pPr>
        <w:spacing w:after="160" w:line="320"/>
      </w:pPr>
      <w:r>
        <w:t xml:space="preserve">Each recorded page is one printed A4 side. Sheets are derived from pages by scenario: single-sided printing gives one sheet per page, double-sided gives the page count halved and rounded up, and the antenatal booklet is treated as double-sided in every scenario because it is purchased pre-printed. Mass follows from A4 area and grammage at 4.99 g per sheet. Shelf length follows from a filed-record density of 10,000 sheets per linear metre, which allows for folders and covers, and archive floor area from 5.5 linear metres of shelving per m² inclusive of an aisle allowance. The last two are conventions rather than measurements and are the two largest sources of uncertainty in the headline capital figure.</w:t>
      </w:r>
    </w:p>
    <w:p>
      <w:pPr>
        <w:pStyle w:val="Heading2"/>
        <w:spacing w:after="140" w:before="280"/>
      </w:pPr>
      <w:r>
        <w:rPr>
          <w:b/>
          <w:bCs/>
          <w:sz w:val="22"/>
          <w:szCs w:val="22"/>
        </w:rPr>
        <w:t xml:space="preserve">Retention and the steady-state archive</w:t>
      </w:r>
    </w:p>
    <w:p>
      <w:pPr>
        <w:spacing w:after="160" w:line="320"/>
      </w:pPr>
      <w:r>
        <w:t xml:space="preserve">Documents were assigned statutory retention periods by type: 30 years for outpatient antenatal documentation and 50 years for inpatient ward and delivery documentation. At steady state — constant annual volume, each cohort discarded on expiry — the archive holds, for each document type, its annual page volume multiplied by its retention period. This steady-state stock, not the annual flow, determines the floor area a health system must own, and it is what the reported property value prices. The property value is a capital stock and is not directly comparable with an annual flow, so it is also reported as an annualised opportunity cost at the 3.7% discount rate: 8.97 billion HUF becomes 332 million HUF a year, against 94.5 million of consumables. The antenatal booklet is included in the stock on the assumption that an institutional copy is retained; if it is patient-held with no copy archived, the national holding falls to 5,413 m² and 8.44 billion HUF and the paperless pathway's residual archive falls to zero.</w:t>
      </w:r>
    </w:p>
    <w:p>
      <w:pPr>
        <w:pStyle w:val="Heading2"/>
        <w:spacing w:after="140" w:before="280"/>
      </w:pPr>
      <w:r>
        <w:rPr>
          <w:b/>
          <w:bCs/>
          <w:sz w:val="22"/>
          <w:szCs w:val="22"/>
        </w:rPr>
        <w:t xml:space="preserve">Scenario arms</w:t>
      </w:r>
    </w:p>
    <w:p>
      <w:pPr>
        <w:spacing w:after="160" w:line="320"/>
      </w:pPr>
      <w:r>
        <w:t xml:space="preserve">Five arms are reported. S0 prints all self-generated output single-sided; S1 prints it double-sided; S2a retrieves the diagnostic reports from the national exchange and prints what remains single-sided; S2 does both; S3 removes all self-printed output. S2 is a </w:t>
      </w:r>
      <w:r>
        <w:rPr>
          <w:b/>
          <w:bCs/>
        </w:rPr>
        <w:t xml:space="preserve">combination</w:t>
      </w:r>
      <w:r>
        <w:t xml:space="preserve"> of two interventions, so comparing it with S1 compares a bundle with a single measure and overstates what electronic delivery does on its own: of the 6.77 billion HUF of property value S2 releases nationally, 5.34 billion is electronic delivery (S2a) and 1.43 billion the duplex component. S2a is therefore the like-for-like comparator for S1, and both are reported.</w:t>
      </w:r>
    </w:p>
    <w:p>
      <w:pPr>
        <w:pStyle w:val="Heading2"/>
        <w:spacing w:after="140" w:before="280"/>
      </w:pPr>
      <w:r>
        <w:rPr>
          <w:b/>
          <w:bCs/>
          <w:sz w:val="22"/>
          <w:szCs w:val="22"/>
        </w:rPr>
        <w:t xml:space="preserve">The four quantities</w:t>
      </w:r>
    </w:p>
    <w:p>
      <w:pPr>
        <w:spacing w:after="160" w:line="320"/>
      </w:pPr>
      <w:r>
        <w:t xml:space="preserve">Printing is charged per printed page, paper per physical sheet, storage per archived sheet, and handling per document. These diverge under duplex printing, which halves sheets but leaves pages and documents unchanged, and under electronic result delivery, which reduces all four. Conflating them is the commonest way a paper-reduction business case reaches the wrong conclusion, and it is why duplex printing appears attractive on paper cost and is in fact an archive intervention.</w:t>
      </w:r>
    </w:p>
    <w:p>
      <w:pPr>
        <w:pStyle w:val="Heading2"/>
        <w:spacing w:after="140" w:before="280"/>
      </w:pPr>
      <w:r>
        <w:rPr>
          <w:b/>
          <w:bCs/>
          <w:sz w:val="22"/>
          <w:szCs w:val="22"/>
        </w:rPr>
        <w:t xml:space="preserve">Handling time</w:t>
      </w:r>
    </w:p>
    <w:p>
      <w:pPr>
        <w:spacing w:after="160" w:line="320"/>
      </w:pPr>
      <w:r>
        <w:t xml:space="preserve">One document is counted for each referral and each diagnostic report, irrespective of page count: a referral is one document, a paired report is one document per referral, and ultrasound reports are counted at one page per report — an assumption that supplies 10.3 of the 45.6 documents per episode, so at two pages per ultrasound report the national figure would fall from 17.1 to 15.2 full-time equivalents. Ward and delivery documentation are excluded, being written during care rather than printed on demand. Time is reported in hours and full-time equivalents and is deliberately not monetised, for the reasons given in the main text.</w:t>
      </w:r>
    </w:p>
    <w:p>
      <w:pPr>
        <w:pStyle w:val="Heading2"/>
        <w:spacing w:after="140" w:before="280"/>
      </w:pPr>
      <w:r>
        <w:rPr>
          <w:b/>
          <w:bCs/>
          <w:sz w:val="22"/>
          <w:szCs w:val="22"/>
        </w:rPr>
        <w:t xml:space="preserve">Environmental conversion</w:t>
      </w:r>
    </w:p>
    <w:p>
      <w:pPr>
        <w:spacing w:after="160" w:line="320"/>
      </w:pPr>
      <w:r>
        <w:t xml:space="preserve">Greenhouse-gas emissions use a cradle-to-gate factor of 950 kg CO2e per tonne of paper, the production-weighted mean of a systematic review and meta-analysis of 45 paper-making life-cycle assessments, with sensitivity across the grade-level spread observed in 252 mills. Water uses the published consumptive (green plus blue) range of 300 to 2600 m³ per tonne for printing and writing paper, accounting for current recovery rates; the source publishes no central value, so its midpoint is used as the point estimate and the full range is carried through every reported figure. Both exclude printing energy, transport, decades of archive conditioning and end-of-life destruction; grey water is excluded. Neither constitutes a life-cycle assessment.</w:t>
      </w:r>
    </w:p>
    <w:p>
      <w:pPr>
        <w:pStyle w:val="Heading2"/>
        <w:spacing w:after="140" w:before="280"/>
      </w:pPr>
      <w:r>
        <w:rPr>
          <w:b/>
          <w:bCs/>
          <w:sz w:val="22"/>
          <w:szCs w:val="22"/>
        </w:rPr>
        <w:t xml:space="preserve">Statistical and computational methods</w:t>
      </w:r>
    </w:p>
    <w:p>
      <w:pPr>
        <w:spacing w:after="160" w:line="320"/>
      </w:pPr>
      <w:r>
        <w:t xml:space="preserve">Confidence intervals for the mean are from Student's </w:t>
      </w:r>
      <w:r>
        <w:rPr>
          <w:i/>
          <w:iCs/>
        </w:rPr>
        <w:t xml:space="preserve">t</w:t>
      </w:r>
      <w:r>
        <w:t xml:space="preserve"> and were corroborated by a 10,000-replicate non-parametric bootstrap with a fixed seed. Scenario outputs are deterministic functions of the observed sample mean and the parameters in supplementary table S1, so uncertainty is expressed as one-way sensitivity analysis rather than probabilistic simulation. One-way analysis varies each parameter alone and therefore does not bound the joint uncertainty: with the physical and price parameters simultaneously at their favourable ends the national property value falls to 4.08 billion HUF, and at their adverse ends rises to 20.60 billion, against a base case of 8.97 billion and a one-way span of 6.86 to 12.34 billion. The 10-year discounted spend sums undiscounted first-year costs with nine subsequent years discounted at 3.7%. Analyses were performed in Python 3. The analysis script and the parameter file are provided; substituting a local unit price and re-running regenerates every table and figure in this paper.</w:t>
      </w:r>
    </w:p>
    <w:p>
      <w:pPr>
        <w:pBdr>
          <w:bottom w:val="single" w:color="CCCCCC" w:sz="6"/>
        </w:pBdr>
        <w:spacing w:after="200" w:before="200"/>
      </w:pPr>
    </w:p>
    <w:p>
      <w:pPr>
        <w:pStyle w:val="Heading1"/>
        <w:spacing w:after="200" w:before="400"/>
      </w:pPr>
      <w:r>
        <w:rPr>
          <w:b/>
          <w:bCs/>
          <w:sz w:val="24"/>
          <w:szCs w:val="24"/>
        </w:rPr>
        <w:t xml:space="preserve">SUPPLEMENTARY TABLE S1</w:t>
      </w:r>
    </w:p>
    <w:p>
      <w:pPr>
        <w:spacing w:after="160" w:line="320"/>
      </w:pPr>
      <w:r>
        <w:t xml:space="preserve">Model parameters, base-case values, sensitivity ranges and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F2F2F2" w:val="clear"/>
            <w:tcMar>
              <w:top w:type="dxa" w:w="60"/>
              <w:left w:type="dxa" w:w="80"/>
              <w:bottom w:type="dxa" w:w="60"/>
              <w:right w:type="dxa" w:w="80"/>
            </w:tcMar>
          </w:tcPr>
          <w:p>
            <w:pPr>
              <w:spacing w:after="0" w:line="240"/>
            </w:pPr>
            <w:r>
              <w:rPr>
                <w:b/>
                <w:bCs/>
                <w:sz w:val="18"/>
                <w:szCs w:val="18"/>
              </w:rPr>
              <w:t xml:space="preserve">Parameter</w:t>
            </w:r>
          </w:p>
        </w:tc>
        <w:tc>
          <w:tcPr>
            <w:tcW w:type="dxa" w:w="2256"/>
            <w:shd w:fill="F2F2F2" w:val="clear"/>
            <w:tcMar>
              <w:top w:type="dxa" w:w="60"/>
              <w:left w:type="dxa" w:w="80"/>
              <w:bottom w:type="dxa" w:w="60"/>
              <w:right w:type="dxa" w:w="80"/>
            </w:tcMar>
          </w:tcPr>
          <w:p>
            <w:pPr>
              <w:spacing w:after="0" w:line="240"/>
            </w:pPr>
            <w:r>
              <w:rPr>
                <w:b/>
                <w:bCs/>
                <w:sz w:val="18"/>
                <w:szCs w:val="18"/>
              </w:rPr>
              <w:t xml:space="preserve">Base case</w:t>
            </w:r>
          </w:p>
        </w:tc>
        <w:tc>
          <w:tcPr>
            <w:tcW w:type="dxa" w:w="2256"/>
            <w:shd w:fill="F2F2F2" w:val="clear"/>
            <w:tcMar>
              <w:top w:type="dxa" w:w="60"/>
              <w:left w:type="dxa" w:w="80"/>
              <w:bottom w:type="dxa" w:w="60"/>
              <w:right w:type="dxa" w:w="80"/>
            </w:tcMar>
          </w:tcPr>
          <w:p>
            <w:pPr>
              <w:spacing w:after="0" w:line="240"/>
            </w:pPr>
            <w:r>
              <w:rPr>
                <w:b/>
                <w:bCs/>
                <w:sz w:val="18"/>
                <w:szCs w:val="18"/>
              </w:rPr>
              <w:t xml:space="preserve">Sensitivity range</w:t>
            </w:r>
          </w:p>
        </w:tc>
        <w:tc>
          <w:tcPr>
            <w:tcW w:type="dxa" w:w="2258"/>
            <w:shd w:fill="F2F2F2" w:val="clear"/>
            <w:tcMar>
              <w:top w:type="dxa" w:w="60"/>
              <w:left w:type="dxa" w:w="80"/>
              <w:bottom w:type="dxa" w:w="60"/>
              <w:right w:type="dxa" w:w="80"/>
            </w:tcMar>
          </w:tcPr>
          <w:p>
            <w:pPr>
              <w:spacing w:after="0" w:line="240"/>
            </w:pPr>
            <w:r>
              <w:rPr>
                <w:b/>
                <w:bCs/>
                <w:sz w:val="18"/>
                <w:szCs w:val="18"/>
              </w:rPr>
              <w:t xml:space="preserve">Source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Paper, HUF per 500-sheet ream (net)</w:t>
            </w:r>
          </w:p>
        </w:tc>
        <w:tc>
          <w:tcPr>
            <w:tcW w:type="dxa" w:w="2256"/>
            <w:tcMar>
              <w:top w:type="dxa" w:w="60"/>
              <w:left w:type="dxa" w:w="80"/>
              <w:bottom w:type="dxa" w:w="60"/>
              <w:right w:type="dxa" w:w="80"/>
            </w:tcMar>
          </w:tcPr>
          <w:p>
            <w:pPr>
              <w:spacing w:after="0" w:line="240"/>
            </w:pPr>
            <w:r>
              <w:rPr>
                <w:b w:val="false"/>
                <w:bCs w:val="false"/>
                <w:sz w:val="18"/>
                <w:szCs w:val="18"/>
              </w:rPr>
              <w:t xml:space="preserve">1,445</w:t>
            </w:r>
          </w:p>
        </w:tc>
        <w:tc>
          <w:tcPr>
            <w:tcW w:type="dxa" w:w="2256"/>
            <w:tcMar>
              <w:top w:type="dxa" w:w="60"/>
              <w:left w:type="dxa" w:w="80"/>
              <w:bottom w:type="dxa" w:w="60"/>
              <w:right w:type="dxa" w:w="80"/>
            </w:tcMar>
          </w:tcPr>
          <w:p>
            <w:pPr>
              <w:spacing w:after="0" w:line="240"/>
            </w:pPr>
            <w:r>
              <w:rPr>
                <w:b w:val="false"/>
                <w:bCs w:val="false"/>
                <w:sz w:val="18"/>
                <w:szCs w:val="18"/>
              </w:rPr>
              <w:t xml:space="preserve">1,430 to 1,460</w:t>
            </w:r>
          </w:p>
        </w:tc>
        <w:tc>
          <w:tcPr>
            <w:tcW w:type="dxa" w:w="2258"/>
            <w:tcMar>
              <w:top w:type="dxa" w:w="60"/>
              <w:left w:type="dxa" w:w="80"/>
              <w:bottom w:type="dxa" w:w="60"/>
              <w:right w:type="dxa" w:w="80"/>
            </w:tcMar>
          </w:tcPr>
          <w:p>
            <w:pPr>
              <w:spacing w:after="0" w:line="240"/>
            </w:pPr>
            <w:r>
              <w:rPr>
                <w:b w:val="false"/>
                <w:bCs w:val="false"/>
                <w:sz w:val="18"/>
                <w:szCs w:val="18"/>
              </w:rPr>
              <w:t xml:space="preserve">KEF centralised public procurement framework</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Printing, HUF per printed page</w:t>
            </w:r>
          </w:p>
        </w:tc>
        <w:tc>
          <w:tcPr>
            <w:tcW w:type="dxa" w:w="2256"/>
            <w:tcMar>
              <w:top w:type="dxa" w:w="60"/>
              <w:left w:type="dxa" w:w="80"/>
              <w:bottom w:type="dxa" w:w="60"/>
              <w:right w:type="dxa" w:w="80"/>
            </w:tcMar>
          </w:tcPr>
          <w:p>
            <w:pPr>
              <w:spacing w:after="0" w:line="240"/>
            </w:pPr>
            <w:r>
              <w:rPr>
                <w:b w:val="false"/>
                <w:bCs w:val="false"/>
                <w:sz w:val="18"/>
                <w:szCs w:val="18"/>
              </w:rPr>
              <w:t xml:space="preserve">7</w:t>
            </w:r>
          </w:p>
        </w:tc>
        <w:tc>
          <w:tcPr>
            <w:tcW w:type="dxa" w:w="2256"/>
            <w:tcMar>
              <w:top w:type="dxa" w:w="60"/>
              <w:left w:type="dxa" w:w="80"/>
              <w:bottom w:type="dxa" w:w="60"/>
              <w:right w:type="dxa" w:w="80"/>
            </w:tcMar>
          </w:tcPr>
          <w:p>
            <w:pPr>
              <w:spacing w:after="0" w:line="240"/>
            </w:pPr>
            <w:r>
              <w:rPr>
                <w:b w:val="false"/>
                <w:bCs w:val="false"/>
                <w:sz w:val="18"/>
                <w:szCs w:val="18"/>
              </w:rPr>
              <w:t xml:space="preserve">5 to 10</w:t>
            </w:r>
          </w:p>
        </w:tc>
        <w:tc>
          <w:tcPr>
            <w:tcW w:type="dxa" w:w="2258"/>
            <w:tcMar>
              <w:top w:type="dxa" w:w="60"/>
              <w:left w:type="dxa" w:w="80"/>
              <w:bottom w:type="dxa" w:w="60"/>
              <w:right w:type="dxa" w:w="80"/>
            </w:tcMar>
          </w:tcPr>
          <w:p>
            <w:pPr>
              <w:spacing w:after="0" w:line="240"/>
            </w:pPr>
            <w:r>
              <w:rPr>
                <w:b w:val="false"/>
                <w:bCs w:val="false"/>
                <w:sz w:val="18"/>
                <w:szCs w:val="18"/>
              </w:rPr>
              <w:t xml:space="preserve">Author-supplied; prevailing Hungarian cost-per-page charge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Antenatal booklet, HUF each</w:t>
            </w:r>
          </w:p>
        </w:tc>
        <w:tc>
          <w:tcPr>
            <w:tcW w:type="dxa" w:w="2256"/>
            <w:tcMar>
              <w:top w:type="dxa" w:w="60"/>
              <w:left w:type="dxa" w:w="80"/>
              <w:bottom w:type="dxa" w:w="60"/>
              <w:right w:type="dxa" w:w="80"/>
            </w:tcMar>
          </w:tcPr>
          <w:p>
            <w:pPr>
              <w:spacing w:after="0" w:line="240"/>
            </w:pPr>
            <w:r>
              <w:rPr>
                <w:b w:val="false"/>
                <w:bCs w:val="false"/>
                <w:sz w:val="18"/>
                <w:szCs w:val="18"/>
              </w:rPr>
              <w:t xml:space="preserve">70</w:t>
            </w:r>
          </w:p>
        </w:tc>
        <w:tc>
          <w:tcPr>
            <w:tcW w:type="dxa" w:w="2256"/>
            <w:tcMar>
              <w:top w:type="dxa" w:w="60"/>
              <w:left w:type="dxa" w:w="80"/>
              <w:bottom w:type="dxa" w:w="60"/>
              <w:right w:type="dxa" w:w="80"/>
            </w:tcMar>
          </w:tcPr>
          <w:p>
            <w:pPr>
              <w:spacing w:after="0" w:line="240"/>
            </w:pPr>
            <w:r>
              <w:rPr>
                <w:b w:val="false"/>
                <w:bCs w:val="false"/>
                <w:sz w:val="18"/>
                <w:szCs w:val="18"/>
              </w:rPr>
              <w:t xml:space="preserve">—</w:t>
            </w:r>
          </w:p>
        </w:tc>
        <w:tc>
          <w:tcPr>
            <w:tcW w:type="dxa" w:w="2258"/>
            <w:tcMar>
              <w:top w:type="dxa" w:w="60"/>
              <w:left w:type="dxa" w:w="80"/>
              <w:bottom w:type="dxa" w:w="60"/>
              <w:right w:type="dxa" w:w="80"/>
            </w:tcMar>
          </w:tcPr>
          <w:p>
            <w:pPr>
              <w:spacing w:after="0" w:line="240"/>
            </w:pPr>
            <w:r>
              <w:rPr>
                <w:b w:val="false"/>
                <w:bCs w:val="false"/>
                <w:sz w:val="18"/>
                <w:szCs w:val="18"/>
              </w:rPr>
              <w:t xml:space="preserve">Author-supplied purchase price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Archive floor, HUF per m²</w:t>
            </w:r>
          </w:p>
        </w:tc>
        <w:tc>
          <w:tcPr>
            <w:tcW w:type="dxa" w:w="2256"/>
            <w:tcMar>
              <w:top w:type="dxa" w:w="60"/>
              <w:left w:type="dxa" w:w="80"/>
              <w:bottom w:type="dxa" w:w="60"/>
              <w:right w:type="dxa" w:w="80"/>
            </w:tcMar>
          </w:tcPr>
          <w:p>
            <w:pPr>
              <w:spacing w:after="0" w:line="240"/>
            </w:pPr>
            <w:r>
              <w:rPr>
                <w:b w:val="false"/>
                <w:bCs w:val="false"/>
                <w:sz w:val="18"/>
                <w:szCs w:val="18"/>
              </w:rPr>
              <w:t xml:space="preserve">1,560,000</w:t>
            </w:r>
          </w:p>
        </w:tc>
        <w:tc>
          <w:tcPr>
            <w:tcW w:type="dxa" w:w="2256"/>
            <w:tcMar>
              <w:top w:type="dxa" w:w="60"/>
              <w:left w:type="dxa" w:w="80"/>
              <w:bottom w:type="dxa" w:w="60"/>
              <w:right w:type="dxa" w:w="80"/>
            </w:tcMar>
          </w:tcPr>
          <w:p>
            <w:pPr>
              <w:spacing w:after="0" w:line="240"/>
            </w:pPr>
            <w:r>
              <w:rPr>
                <w:b w:val="false"/>
                <w:bCs w:val="false"/>
                <w:sz w:val="18"/>
                <w:szCs w:val="18"/>
              </w:rPr>
              <w:t xml:space="preserve">1,200,000 to 1,900,000</w:t>
            </w:r>
          </w:p>
        </w:tc>
        <w:tc>
          <w:tcPr>
            <w:tcW w:type="dxa" w:w="2258"/>
            <w:tcMar>
              <w:top w:type="dxa" w:w="60"/>
              <w:left w:type="dxa" w:w="80"/>
              <w:bottom w:type="dxa" w:w="60"/>
              <w:right w:type="dxa" w:w="80"/>
            </w:tcMar>
          </w:tcPr>
          <w:p>
            <w:pPr>
              <w:spacing w:after="0" w:line="240"/>
            </w:pPr>
            <w:r>
              <w:rPr>
                <w:b w:val="false"/>
                <w:bCs w:val="false"/>
                <w:sz w:val="18"/>
                <w:szCs w:val="18"/>
              </w:rPr>
              <w:t xml:space="preserve">NAV property valuation for the archive site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VAT rate</w:t>
            </w:r>
          </w:p>
        </w:tc>
        <w:tc>
          <w:tcPr>
            <w:tcW w:type="dxa" w:w="2256"/>
            <w:tcMar>
              <w:top w:type="dxa" w:w="60"/>
              <w:left w:type="dxa" w:w="80"/>
              <w:bottom w:type="dxa" w:w="60"/>
              <w:right w:type="dxa" w:w="80"/>
            </w:tcMar>
          </w:tcPr>
          <w:p>
            <w:pPr>
              <w:spacing w:after="0" w:line="240"/>
            </w:pPr>
            <w:r>
              <w:rPr>
                <w:b w:val="false"/>
                <w:bCs w:val="false"/>
                <w:sz w:val="18"/>
                <w:szCs w:val="18"/>
              </w:rPr>
              <w:t xml:space="preserve">27%</w:t>
            </w:r>
          </w:p>
        </w:tc>
        <w:tc>
          <w:tcPr>
            <w:tcW w:type="dxa" w:w="2256"/>
            <w:tcMar>
              <w:top w:type="dxa" w:w="60"/>
              <w:left w:type="dxa" w:w="80"/>
              <w:bottom w:type="dxa" w:w="60"/>
              <w:right w:type="dxa" w:w="80"/>
            </w:tcMar>
          </w:tcPr>
          <w:p>
            <w:pPr>
              <w:spacing w:after="0" w:line="240"/>
            </w:pPr>
            <w:r>
              <w:rPr>
                <w:b w:val="false"/>
                <w:bCs w:val="false"/>
                <w:sz w:val="18"/>
                <w:szCs w:val="18"/>
              </w:rPr>
              <w:t xml:space="preserve">—</w:t>
            </w:r>
          </w:p>
        </w:tc>
        <w:tc>
          <w:tcPr>
            <w:tcW w:type="dxa" w:w="2258"/>
            <w:tcMar>
              <w:top w:type="dxa" w:w="60"/>
              <w:left w:type="dxa" w:w="80"/>
              <w:bottom w:type="dxa" w:w="60"/>
              <w:right w:type="dxa" w:w="80"/>
            </w:tcMar>
          </w:tcPr>
          <w:p>
            <w:pPr>
              <w:spacing w:after="0" w:line="240"/>
            </w:pPr>
            <w:r>
              <w:rPr>
                <w:b w:val="false"/>
                <w:bCs w:val="false"/>
                <w:sz w:val="18"/>
                <w:szCs w:val="18"/>
              </w:rPr>
              <w:t xml:space="preserve">Hungarian standard rate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Discount rate</w:t>
            </w:r>
          </w:p>
        </w:tc>
        <w:tc>
          <w:tcPr>
            <w:tcW w:type="dxa" w:w="2256"/>
            <w:tcMar>
              <w:top w:type="dxa" w:w="60"/>
              <w:left w:type="dxa" w:w="80"/>
              <w:bottom w:type="dxa" w:w="60"/>
              <w:right w:type="dxa" w:w="80"/>
            </w:tcMar>
          </w:tcPr>
          <w:p>
            <w:pPr>
              <w:spacing w:after="0" w:line="240"/>
            </w:pPr>
            <w:r>
              <w:rPr>
                <w:b w:val="false"/>
                <w:bCs w:val="false"/>
                <w:sz w:val="18"/>
                <w:szCs w:val="18"/>
              </w:rPr>
              <w:t xml:space="preserve">3.7%</w:t>
            </w:r>
          </w:p>
        </w:tc>
        <w:tc>
          <w:tcPr>
            <w:tcW w:type="dxa" w:w="2256"/>
            <w:tcMar>
              <w:top w:type="dxa" w:w="60"/>
              <w:left w:type="dxa" w:w="80"/>
              <w:bottom w:type="dxa" w:w="60"/>
              <w:right w:type="dxa" w:w="80"/>
            </w:tcMar>
          </w:tcPr>
          <w:p>
            <w:pPr>
              <w:spacing w:after="0" w:line="240"/>
            </w:pPr>
            <w:r>
              <w:rPr>
                <w:b w:val="false"/>
                <w:bCs w:val="false"/>
                <w:sz w:val="18"/>
                <w:szCs w:val="18"/>
              </w:rPr>
              <w:t xml:space="preserve">—</w:t>
            </w:r>
          </w:p>
        </w:tc>
        <w:tc>
          <w:tcPr>
            <w:tcW w:type="dxa" w:w="2258"/>
            <w:tcMar>
              <w:top w:type="dxa" w:w="60"/>
              <w:left w:type="dxa" w:w="80"/>
              <w:bottom w:type="dxa" w:w="60"/>
              <w:right w:type="dxa" w:w="80"/>
            </w:tcMar>
          </w:tcPr>
          <w:p>
            <w:pPr>
              <w:spacing w:after="0" w:line="240"/>
            </w:pPr>
            <w:r>
              <w:rPr>
                <w:b w:val="false"/>
                <w:bCs w:val="false"/>
                <w:sz w:val="18"/>
                <w:szCs w:val="18"/>
              </w:rPr>
              <w:t xml:space="preserve">National health technology assessment guidance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A4 sheet area, m²</w:t>
            </w:r>
          </w:p>
        </w:tc>
        <w:tc>
          <w:tcPr>
            <w:tcW w:type="dxa" w:w="2256"/>
            <w:tcMar>
              <w:top w:type="dxa" w:w="60"/>
              <w:left w:type="dxa" w:w="80"/>
              <w:bottom w:type="dxa" w:w="60"/>
              <w:right w:type="dxa" w:w="80"/>
            </w:tcMar>
          </w:tcPr>
          <w:p>
            <w:pPr>
              <w:spacing w:after="0" w:line="240"/>
            </w:pPr>
            <w:r>
              <w:rPr>
                <w:b w:val="false"/>
                <w:bCs w:val="false"/>
                <w:sz w:val="18"/>
                <w:szCs w:val="18"/>
              </w:rPr>
              <w:t xml:space="preserve">0.06237</w:t>
            </w:r>
          </w:p>
        </w:tc>
        <w:tc>
          <w:tcPr>
            <w:tcW w:type="dxa" w:w="2256"/>
            <w:tcMar>
              <w:top w:type="dxa" w:w="60"/>
              <w:left w:type="dxa" w:w="80"/>
              <w:bottom w:type="dxa" w:w="60"/>
              <w:right w:type="dxa" w:w="80"/>
            </w:tcMar>
          </w:tcPr>
          <w:p>
            <w:pPr>
              <w:spacing w:after="0" w:line="240"/>
            </w:pPr>
            <w:r>
              <w:rPr>
                <w:b w:val="false"/>
                <w:bCs w:val="false"/>
                <w:sz w:val="18"/>
                <w:szCs w:val="18"/>
              </w:rPr>
              <w:t xml:space="preserve">—</w:t>
            </w:r>
          </w:p>
        </w:tc>
        <w:tc>
          <w:tcPr>
            <w:tcW w:type="dxa" w:w="2258"/>
            <w:tcMar>
              <w:top w:type="dxa" w:w="60"/>
              <w:left w:type="dxa" w:w="80"/>
              <w:bottom w:type="dxa" w:w="60"/>
              <w:right w:type="dxa" w:w="80"/>
            </w:tcMar>
          </w:tcPr>
          <w:p>
            <w:pPr>
              <w:spacing w:after="0" w:line="240"/>
            </w:pPr>
            <w:r>
              <w:rPr>
                <w:b w:val="false"/>
                <w:bCs w:val="false"/>
                <w:sz w:val="18"/>
                <w:szCs w:val="18"/>
              </w:rPr>
              <w:t xml:space="preserve">ISO 216 A4</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Grammage, g/m²</w:t>
            </w:r>
          </w:p>
        </w:tc>
        <w:tc>
          <w:tcPr>
            <w:tcW w:type="dxa" w:w="2256"/>
            <w:tcMar>
              <w:top w:type="dxa" w:w="60"/>
              <w:left w:type="dxa" w:w="80"/>
              <w:bottom w:type="dxa" w:w="60"/>
              <w:right w:type="dxa" w:w="80"/>
            </w:tcMar>
          </w:tcPr>
          <w:p>
            <w:pPr>
              <w:spacing w:after="0" w:line="240"/>
            </w:pPr>
            <w:r>
              <w:rPr>
                <w:b w:val="false"/>
                <w:bCs w:val="false"/>
                <w:sz w:val="18"/>
                <w:szCs w:val="18"/>
              </w:rPr>
              <w:t xml:space="preserve">80</w:t>
            </w:r>
          </w:p>
        </w:tc>
        <w:tc>
          <w:tcPr>
            <w:tcW w:type="dxa" w:w="2256"/>
            <w:tcMar>
              <w:top w:type="dxa" w:w="60"/>
              <w:left w:type="dxa" w:w="80"/>
              <w:bottom w:type="dxa" w:w="60"/>
              <w:right w:type="dxa" w:w="80"/>
            </w:tcMar>
          </w:tcPr>
          <w:p>
            <w:pPr>
              <w:spacing w:after="0" w:line="240"/>
            </w:pPr>
            <w:r>
              <w:rPr>
                <w:b w:val="false"/>
                <w:bCs w:val="false"/>
                <w:sz w:val="18"/>
                <w:szCs w:val="18"/>
              </w:rPr>
              <w:t xml:space="preserve">—</w:t>
            </w:r>
          </w:p>
        </w:tc>
        <w:tc>
          <w:tcPr>
            <w:tcW w:type="dxa" w:w="2258"/>
            <w:tcMar>
              <w:top w:type="dxa" w:w="60"/>
              <w:left w:type="dxa" w:w="80"/>
              <w:bottom w:type="dxa" w:w="60"/>
              <w:right w:type="dxa" w:w="80"/>
            </w:tcMar>
          </w:tcPr>
          <w:p>
            <w:pPr>
              <w:spacing w:after="0" w:line="240"/>
            </w:pPr>
            <w:r>
              <w:rPr>
                <w:b w:val="false"/>
                <w:bCs w:val="false"/>
                <w:sz w:val="18"/>
                <w:szCs w:val="18"/>
              </w:rPr>
              <w:t xml:space="preserve">Specification of the procured paper</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Sheets per linear metre of shelving</w:t>
            </w:r>
          </w:p>
        </w:tc>
        <w:tc>
          <w:tcPr>
            <w:tcW w:type="dxa" w:w="2256"/>
            <w:tcMar>
              <w:top w:type="dxa" w:w="60"/>
              <w:left w:type="dxa" w:w="80"/>
              <w:bottom w:type="dxa" w:w="60"/>
              <w:right w:type="dxa" w:w="80"/>
            </w:tcMar>
          </w:tcPr>
          <w:p>
            <w:pPr>
              <w:spacing w:after="0" w:line="240"/>
            </w:pPr>
            <w:r>
              <w:rPr>
                <w:b w:val="false"/>
                <w:bCs w:val="false"/>
                <w:sz w:val="18"/>
                <w:szCs w:val="18"/>
              </w:rPr>
              <w:t xml:space="preserve">10,000</w:t>
            </w:r>
          </w:p>
        </w:tc>
        <w:tc>
          <w:tcPr>
            <w:tcW w:type="dxa" w:w="2256"/>
            <w:tcMar>
              <w:top w:type="dxa" w:w="60"/>
              <w:left w:type="dxa" w:w="80"/>
              <w:bottom w:type="dxa" w:w="60"/>
              <w:right w:type="dxa" w:w="80"/>
            </w:tcMar>
          </w:tcPr>
          <w:p>
            <w:pPr>
              <w:spacing w:after="0" w:line="240"/>
            </w:pPr>
            <w:r>
              <w:rPr>
                <w:b w:val="false"/>
                <w:bCs w:val="false"/>
                <w:sz w:val="18"/>
                <w:szCs w:val="18"/>
              </w:rPr>
              <w:t xml:space="preserve">8,000 to 12,000</w:t>
            </w:r>
          </w:p>
        </w:tc>
        <w:tc>
          <w:tcPr>
            <w:tcW w:type="dxa" w:w="2258"/>
            <w:tcMar>
              <w:top w:type="dxa" w:w="60"/>
              <w:left w:type="dxa" w:w="80"/>
              <w:bottom w:type="dxa" w:w="60"/>
              <w:right w:type="dxa" w:w="80"/>
            </w:tcMar>
          </w:tcPr>
          <w:p>
            <w:pPr>
              <w:spacing w:after="0" w:line="240"/>
            </w:pPr>
            <w:r>
              <w:rPr>
                <w:b w:val="false"/>
                <w:bCs w:val="false"/>
                <w:sz w:val="18"/>
                <w:szCs w:val="18"/>
              </w:rPr>
              <w:t xml:space="preserve">Convention; filed records including covers</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Linear metres of shelving per m² floor</w:t>
            </w:r>
          </w:p>
        </w:tc>
        <w:tc>
          <w:tcPr>
            <w:tcW w:type="dxa" w:w="2256"/>
            <w:tcMar>
              <w:top w:type="dxa" w:w="60"/>
              <w:left w:type="dxa" w:w="80"/>
              <w:bottom w:type="dxa" w:w="60"/>
              <w:right w:type="dxa" w:w="80"/>
            </w:tcMar>
          </w:tcPr>
          <w:p>
            <w:pPr>
              <w:spacing w:after="0" w:line="240"/>
            </w:pPr>
            <w:r>
              <w:rPr>
                <w:b w:val="false"/>
                <w:bCs w:val="false"/>
                <w:sz w:val="18"/>
                <w:szCs w:val="18"/>
              </w:rPr>
              <w:t xml:space="preserve">5.5</w:t>
            </w:r>
          </w:p>
        </w:tc>
        <w:tc>
          <w:tcPr>
            <w:tcW w:type="dxa" w:w="2256"/>
            <w:tcMar>
              <w:top w:type="dxa" w:w="60"/>
              <w:left w:type="dxa" w:w="80"/>
              <w:bottom w:type="dxa" w:w="60"/>
              <w:right w:type="dxa" w:w="80"/>
            </w:tcMar>
          </w:tcPr>
          <w:p>
            <w:pPr>
              <w:spacing w:after="0" w:line="240"/>
            </w:pPr>
            <w:r>
              <w:rPr>
                <w:b w:val="false"/>
                <w:bCs w:val="false"/>
                <w:sz w:val="18"/>
                <w:szCs w:val="18"/>
              </w:rPr>
              <w:t xml:space="preserve">4 to 7</w:t>
            </w:r>
          </w:p>
        </w:tc>
        <w:tc>
          <w:tcPr>
            <w:tcW w:type="dxa" w:w="2258"/>
            <w:tcMar>
              <w:top w:type="dxa" w:w="60"/>
              <w:left w:type="dxa" w:w="80"/>
              <w:bottom w:type="dxa" w:w="60"/>
              <w:right w:type="dxa" w:w="80"/>
            </w:tcMar>
          </w:tcPr>
          <w:p>
            <w:pPr>
              <w:spacing w:after="0" w:line="240"/>
            </w:pPr>
            <w:r>
              <w:rPr>
                <w:b w:val="false"/>
                <w:bCs w:val="false"/>
                <w:sz w:val="18"/>
                <w:szCs w:val="18"/>
              </w:rPr>
              <w:t xml:space="preserve">Convention; shelving with aisle allowance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Handling time, seconds per document</w:t>
            </w:r>
          </w:p>
        </w:tc>
        <w:tc>
          <w:tcPr>
            <w:tcW w:type="dxa" w:w="2256"/>
            <w:tcMar>
              <w:top w:type="dxa" w:w="60"/>
              <w:left w:type="dxa" w:w="80"/>
              <w:bottom w:type="dxa" w:w="60"/>
              <w:right w:type="dxa" w:w="80"/>
            </w:tcMar>
          </w:tcPr>
          <w:p>
            <w:pPr>
              <w:spacing w:after="0" w:line="240"/>
            </w:pPr>
            <w:r>
              <w:rPr>
                <w:b w:val="false"/>
                <w:bCs w:val="false"/>
                <w:sz w:val="18"/>
                <w:szCs w:val="18"/>
              </w:rPr>
              <w:t xml:space="preserve">30</w:t>
            </w:r>
          </w:p>
        </w:tc>
        <w:tc>
          <w:tcPr>
            <w:tcW w:type="dxa" w:w="2256"/>
            <w:tcMar>
              <w:top w:type="dxa" w:w="60"/>
              <w:left w:type="dxa" w:w="80"/>
              <w:bottom w:type="dxa" w:w="60"/>
              <w:right w:type="dxa" w:w="80"/>
            </w:tcMar>
          </w:tcPr>
          <w:p>
            <w:pPr>
              <w:spacing w:after="0" w:line="240"/>
            </w:pPr>
            <w:r>
              <w:rPr>
                <w:b w:val="false"/>
                <w:bCs w:val="false"/>
                <w:sz w:val="18"/>
                <w:szCs w:val="18"/>
              </w:rPr>
              <w:t xml:space="preserve">20 to 60</w:t>
            </w:r>
          </w:p>
        </w:tc>
        <w:tc>
          <w:tcPr>
            <w:tcW w:type="dxa" w:w="2258"/>
            <w:tcMar>
              <w:top w:type="dxa" w:w="60"/>
              <w:left w:type="dxa" w:w="80"/>
              <w:bottom w:type="dxa" w:w="60"/>
              <w:right w:type="dxa" w:w="80"/>
            </w:tcMar>
          </w:tcPr>
          <w:p>
            <w:pPr>
              <w:spacing w:after="0" w:line="240"/>
            </w:pPr>
            <w:r>
              <w:rPr>
                <w:b w:val="false"/>
                <w:bCs w:val="false"/>
                <w:sz w:val="18"/>
                <w:szCs w:val="18"/>
              </w:rPr>
              <w:t xml:space="preserve">Author-supplied conservative lower bound</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Annual hours per FTE</w:t>
            </w:r>
          </w:p>
        </w:tc>
        <w:tc>
          <w:tcPr>
            <w:tcW w:type="dxa" w:w="2256"/>
            <w:tcMar>
              <w:top w:type="dxa" w:w="60"/>
              <w:left w:type="dxa" w:w="80"/>
              <w:bottom w:type="dxa" w:w="60"/>
              <w:right w:type="dxa" w:w="80"/>
            </w:tcMar>
          </w:tcPr>
          <w:p>
            <w:pPr>
              <w:spacing w:after="0" w:line="240"/>
            </w:pPr>
            <w:r>
              <w:rPr>
                <w:b w:val="false"/>
                <w:bCs w:val="false"/>
                <w:sz w:val="18"/>
                <w:szCs w:val="18"/>
              </w:rPr>
              <w:t xml:space="preserve">1,720</w:t>
            </w:r>
          </w:p>
        </w:tc>
        <w:tc>
          <w:tcPr>
            <w:tcW w:type="dxa" w:w="2256"/>
            <w:tcMar>
              <w:top w:type="dxa" w:w="60"/>
              <w:left w:type="dxa" w:w="80"/>
              <w:bottom w:type="dxa" w:w="60"/>
              <w:right w:type="dxa" w:w="80"/>
            </w:tcMar>
          </w:tcPr>
          <w:p>
            <w:pPr>
              <w:spacing w:after="0" w:line="240"/>
            </w:pPr>
            <w:r>
              <w:rPr>
                <w:b w:val="false"/>
                <w:bCs w:val="false"/>
                <w:sz w:val="18"/>
                <w:szCs w:val="18"/>
              </w:rPr>
              <w:t xml:space="preserve">—</w:t>
            </w:r>
          </w:p>
        </w:tc>
        <w:tc>
          <w:tcPr>
            <w:tcW w:type="dxa" w:w="2258"/>
            <w:tcMar>
              <w:top w:type="dxa" w:w="60"/>
              <w:left w:type="dxa" w:w="80"/>
              <w:bottom w:type="dxa" w:w="60"/>
              <w:right w:type="dxa" w:w="80"/>
            </w:tcMar>
          </w:tcPr>
          <w:p>
            <w:pPr>
              <w:spacing w:after="0" w:line="240"/>
            </w:pPr>
            <w:r>
              <w:rPr>
                <w:b w:val="false"/>
                <w:bCs w:val="false"/>
                <w:sz w:val="18"/>
                <w:szCs w:val="18"/>
              </w:rPr>
              <w:t xml:space="preserve">Hungarian full-time working year</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Greenhouse gas, kg CO2e per tonne</w:t>
            </w:r>
          </w:p>
        </w:tc>
        <w:tc>
          <w:tcPr>
            <w:tcW w:type="dxa" w:w="2256"/>
            <w:tcMar>
              <w:top w:type="dxa" w:w="60"/>
              <w:left w:type="dxa" w:w="80"/>
              <w:bottom w:type="dxa" w:w="60"/>
              <w:right w:type="dxa" w:w="80"/>
            </w:tcMar>
          </w:tcPr>
          <w:p>
            <w:pPr>
              <w:spacing w:after="0" w:line="240"/>
            </w:pPr>
            <w:r>
              <w:rPr>
                <w:b w:val="false"/>
                <w:bCs w:val="false"/>
                <w:sz w:val="18"/>
                <w:szCs w:val="18"/>
              </w:rPr>
              <w:t xml:space="preserve">950</w:t>
            </w:r>
          </w:p>
        </w:tc>
        <w:tc>
          <w:tcPr>
            <w:tcW w:type="dxa" w:w="2256"/>
            <w:tcMar>
              <w:top w:type="dxa" w:w="60"/>
              <w:left w:type="dxa" w:w="80"/>
              <w:bottom w:type="dxa" w:w="60"/>
              <w:right w:type="dxa" w:w="80"/>
            </w:tcMar>
          </w:tcPr>
          <w:p>
            <w:pPr>
              <w:spacing w:after="0" w:line="240"/>
            </w:pPr>
            <w:r>
              <w:rPr>
                <w:b w:val="false"/>
                <w:bCs w:val="false"/>
                <w:sz w:val="18"/>
                <w:szCs w:val="18"/>
              </w:rPr>
              <w:t xml:space="preserve">608 to 1,978</w:t>
            </w:r>
          </w:p>
        </w:tc>
        <w:tc>
          <w:tcPr>
            <w:tcW w:type="dxa" w:w="2258"/>
            <w:tcMar>
              <w:top w:type="dxa" w:w="60"/>
              <w:left w:type="dxa" w:w="80"/>
              <w:bottom w:type="dxa" w:w="60"/>
              <w:right w:type="dxa" w:w="80"/>
            </w:tcMar>
          </w:tcPr>
          <w:p>
            <w:pPr>
              <w:spacing w:after="0" w:line="240"/>
            </w:pPr>
            <w:r>
              <w:rPr>
                <w:b w:val="false"/>
                <w:bCs w:val="false"/>
                <w:sz w:val="18"/>
                <w:szCs w:val="18"/>
              </w:rPr>
              <w:t xml:space="preserve">Sun 2018, meta-analysis of 45 paper-making LCAs</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Water, m³ per tonne</w:t>
            </w:r>
          </w:p>
        </w:tc>
        <w:tc>
          <w:tcPr>
            <w:tcW w:type="dxa" w:w="2256"/>
            <w:tcMar>
              <w:top w:type="dxa" w:w="60"/>
              <w:left w:type="dxa" w:w="80"/>
              <w:bottom w:type="dxa" w:w="60"/>
              <w:right w:type="dxa" w:w="80"/>
            </w:tcMar>
          </w:tcPr>
          <w:p>
            <w:pPr>
              <w:spacing w:after="0" w:line="240"/>
            </w:pPr>
            <w:r>
              <w:rPr>
                <w:b w:val="false"/>
                <w:bCs w:val="false"/>
                <w:sz w:val="18"/>
                <w:szCs w:val="18"/>
              </w:rPr>
              <w:t xml:space="preserve">1,450</w:t>
            </w:r>
          </w:p>
        </w:tc>
        <w:tc>
          <w:tcPr>
            <w:tcW w:type="dxa" w:w="2256"/>
            <w:tcMar>
              <w:top w:type="dxa" w:w="60"/>
              <w:left w:type="dxa" w:w="80"/>
              <w:bottom w:type="dxa" w:w="60"/>
              <w:right w:type="dxa" w:w="80"/>
            </w:tcMar>
          </w:tcPr>
          <w:p>
            <w:pPr>
              <w:spacing w:after="0" w:line="240"/>
            </w:pPr>
            <w:r>
              <w:rPr>
                <w:b w:val="false"/>
                <w:bCs w:val="false"/>
                <w:sz w:val="18"/>
                <w:szCs w:val="18"/>
              </w:rPr>
              <w:t xml:space="preserve">300 to 2,600</w:t>
            </w:r>
          </w:p>
        </w:tc>
        <w:tc>
          <w:tcPr>
            <w:tcW w:type="dxa" w:w="2258"/>
            <w:tcMar>
              <w:top w:type="dxa" w:w="60"/>
              <w:left w:type="dxa" w:w="80"/>
              <w:bottom w:type="dxa" w:w="60"/>
              <w:right w:type="dxa" w:w="80"/>
            </w:tcMar>
          </w:tcPr>
          <w:p>
            <w:pPr>
              <w:spacing w:after="0" w:line="240"/>
            </w:pPr>
            <w:r>
              <w:rPr>
                <w:b w:val="false"/>
                <w:bCs w:val="false"/>
                <w:sz w:val="18"/>
                <w:szCs w:val="18"/>
              </w:rPr>
              <w:t xml:space="preserve">van Oel &amp; Hoekstra 2012, midpoint of published range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Antenatal consulting room, m²</w:t>
            </w:r>
          </w:p>
        </w:tc>
        <w:tc>
          <w:tcPr>
            <w:tcW w:type="dxa" w:w="2256"/>
            <w:tcMar>
              <w:top w:type="dxa" w:w="60"/>
              <w:left w:type="dxa" w:w="80"/>
              <w:bottom w:type="dxa" w:w="60"/>
              <w:right w:type="dxa" w:w="80"/>
            </w:tcMar>
          </w:tcPr>
          <w:p>
            <w:pPr>
              <w:spacing w:after="0" w:line="240"/>
            </w:pPr>
            <w:r>
              <w:rPr>
                <w:b w:val="false"/>
                <w:bCs w:val="false"/>
                <w:sz w:val="18"/>
                <w:szCs w:val="18"/>
              </w:rPr>
              <w:t xml:space="preserve">18</w:t>
            </w:r>
          </w:p>
        </w:tc>
        <w:tc>
          <w:tcPr>
            <w:tcW w:type="dxa" w:w="2256"/>
            <w:tcMar>
              <w:top w:type="dxa" w:w="60"/>
              <w:left w:type="dxa" w:w="80"/>
              <w:bottom w:type="dxa" w:w="60"/>
              <w:right w:type="dxa" w:w="80"/>
            </w:tcMar>
          </w:tcPr>
          <w:p>
            <w:pPr>
              <w:spacing w:after="0" w:line="240"/>
            </w:pPr>
            <w:r>
              <w:rPr>
                <w:b w:val="false"/>
                <w:bCs w:val="false"/>
                <w:sz w:val="18"/>
                <w:szCs w:val="18"/>
              </w:rPr>
              <w:t xml:space="preserve">—</w:t>
            </w:r>
          </w:p>
        </w:tc>
        <w:tc>
          <w:tcPr>
            <w:tcW w:type="dxa" w:w="2258"/>
            <w:tcMar>
              <w:top w:type="dxa" w:w="60"/>
              <w:left w:type="dxa" w:w="80"/>
              <w:bottom w:type="dxa" w:w="60"/>
              <w:right w:type="dxa" w:w="80"/>
            </w:tcMar>
          </w:tcPr>
          <w:p>
            <w:pPr>
              <w:spacing w:after="0" w:line="240"/>
            </w:pPr>
            <w:r>
              <w:rPr>
                <w:b w:val="false"/>
                <w:bCs w:val="false"/>
                <w:sz w:val="18"/>
                <w:szCs w:val="18"/>
              </w:rPr>
              <w:t xml:space="preserve">Typical room area</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Care episodes per year, departmental</w:t>
            </w:r>
          </w:p>
        </w:tc>
        <w:tc>
          <w:tcPr>
            <w:tcW w:type="dxa" w:w="2256"/>
            <w:tcMar>
              <w:top w:type="dxa" w:w="60"/>
              <w:left w:type="dxa" w:w="80"/>
              <w:bottom w:type="dxa" w:w="60"/>
              <w:right w:type="dxa" w:w="80"/>
            </w:tcMar>
          </w:tcPr>
          <w:p>
            <w:pPr>
              <w:spacing w:after="0" w:line="240"/>
            </w:pPr>
            <w:r>
              <w:rPr>
                <w:b w:val="false"/>
                <w:bCs w:val="false"/>
                <w:sz w:val="18"/>
                <w:szCs w:val="18"/>
              </w:rPr>
              <w:t xml:space="preserve">2,000</w:t>
            </w:r>
          </w:p>
        </w:tc>
        <w:tc>
          <w:tcPr>
            <w:tcW w:type="dxa" w:w="2256"/>
            <w:tcMar>
              <w:top w:type="dxa" w:w="60"/>
              <w:left w:type="dxa" w:w="80"/>
              <w:bottom w:type="dxa" w:w="60"/>
              <w:right w:type="dxa" w:w="80"/>
            </w:tcMar>
          </w:tcPr>
          <w:p>
            <w:pPr>
              <w:spacing w:after="0" w:line="240"/>
            </w:pPr>
            <w:r>
              <w:rPr>
                <w:b w:val="false"/>
                <w:bCs w:val="false"/>
                <w:sz w:val="18"/>
                <w:szCs w:val="18"/>
              </w:rPr>
              <w:t xml:space="preserve">—</w:t>
            </w:r>
          </w:p>
        </w:tc>
        <w:tc>
          <w:tcPr>
            <w:tcW w:type="dxa" w:w="2258"/>
            <w:tcMar>
              <w:top w:type="dxa" w:w="60"/>
              <w:left w:type="dxa" w:w="80"/>
              <w:bottom w:type="dxa" w:w="60"/>
              <w:right w:type="dxa" w:w="80"/>
            </w:tcMar>
          </w:tcPr>
          <w:p>
            <w:pPr>
              <w:spacing w:after="0" w:line="240"/>
            </w:pPr>
            <w:r>
              <w:rPr>
                <w:b w:val="false"/>
                <w:bCs w:val="false"/>
                <w:sz w:val="18"/>
                <w:szCs w:val="18"/>
              </w:rPr>
              <w:t xml:space="preserve">Departmental delivery volume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Care episodes per year, national</w:t>
            </w:r>
          </w:p>
        </w:tc>
        <w:tc>
          <w:tcPr>
            <w:tcW w:type="dxa" w:w="2256"/>
            <w:tcMar>
              <w:top w:type="dxa" w:w="60"/>
              <w:left w:type="dxa" w:w="80"/>
              <w:bottom w:type="dxa" w:w="60"/>
              <w:right w:type="dxa" w:w="80"/>
            </w:tcMar>
          </w:tcPr>
          <w:p>
            <w:pPr>
              <w:spacing w:after="0" w:line="240"/>
            </w:pPr>
            <w:r>
              <w:rPr>
                <w:b w:val="false"/>
                <w:bCs w:val="false"/>
                <w:sz w:val="18"/>
                <w:szCs w:val="18"/>
              </w:rPr>
              <w:t xml:space="preserve">77,500</w:t>
            </w:r>
          </w:p>
        </w:tc>
        <w:tc>
          <w:tcPr>
            <w:tcW w:type="dxa" w:w="2256"/>
            <w:tcMar>
              <w:top w:type="dxa" w:w="60"/>
              <w:left w:type="dxa" w:w="80"/>
              <w:bottom w:type="dxa" w:w="60"/>
              <w:right w:type="dxa" w:w="80"/>
            </w:tcMar>
          </w:tcPr>
          <w:p>
            <w:pPr>
              <w:spacing w:after="0" w:line="240"/>
            </w:pPr>
            <w:r>
              <w:rPr>
                <w:b w:val="false"/>
                <w:bCs w:val="false"/>
                <w:sz w:val="18"/>
                <w:szCs w:val="18"/>
              </w:rPr>
              <w:t xml:space="preserve">70,000 to 85,000</w:t>
            </w:r>
          </w:p>
        </w:tc>
        <w:tc>
          <w:tcPr>
            <w:tcW w:type="dxa" w:w="2258"/>
            <w:tcMar>
              <w:top w:type="dxa" w:w="60"/>
              <w:left w:type="dxa" w:w="80"/>
              <w:bottom w:type="dxa" w:w="60"/>
              <w:right w:type="dxa" w:w="80"/>
            </w:tcMar>
          </w:tcPr>
          <w:p>
            <w:pPr>
              <w:spacing w:after="0" w:line="240"/>
            </w:pPr>
            <w:r>
              <w:rPr>
                <w:b w:val="false"/>
                <w:bCs w:val="false"/>
                <w:sz w:val="18"/>
                <w:szCs w:val="18"/>
              </w:rPr>
              <w:t xml:space="preserve">KSH, live births 2024</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Printed pages per episode, transferability factor</w:t>
            </w:r>
          </w:p>
        </w:tc>
        <w:tc>
          <w:tcPr>
            <w:tcW w:type="dxa" w:w="2256"/>
            <w:tcMar>
              <w:top w:type="dxa" w:w="60"/>
              <w:left w:type="dxa" w:w="80"/>
              <w:bottom w:type="dxa" w:w="60"/>
              <w:right w:type="dxa" w:w="80"/>
            </w:tcMar>
          </w:tcPr>
          <w:p>
            <w:pPr>
              <w:spacing w:after="0" w:line="240"/>
            </w:pPr>
            <w:r>
              <w:rPr>
                <w:b w:val="false"/>
                <w:bCs w:val="false"/>
                <w:sz w:val="18"/>
                <w:szCs w:val="18"/>
              </w:rPr>
              <w:t xml:space="preserve">1.00</w:t>
            </w:r>
          </w:p>
        </w:tc>
        <w:tc>
          <w:tcPr>
            <w:tcW w:type="dxa" w:w="2256"/>
            <w:tcMar>
              <w:top w:type="dxa" w:w="60"/>
              <w:left w:type="dxa" w:w="80"/>
              <w:bottom w:type="dxa" w:w="60"/>
              <w:right w:type="dxa" w:w="80"/>
            </w:tcMar>
          </w:tcPr>
          <w:p>
            <w:pPr>
              <w:spacing w:after="0" w:line="240"/>
            </w:pPr>
            <w:r>
              <w:rPr>
                <w:b w:val="false"/>
                <w:bCs w:val="false"/>
                <w:sz w:val="18"/>
                <w:szCs w:val="18"/>
              </w:rPr>
              <w:t xml:space="preserve">0.75 to 1.25</w:t>
            </w:r>
          </w:p>
        </w:tc>
        <w:tc>
          <w:tcPr>
            <w:tcW w:type="dxa" w:w="2258"/>
            <w:tcMar>
              <w:top w:type="dxa" w:w="60"/>
              <w:left w:type="dxa" w:w="80"/>
              <w:bottom w:type="dxa" w:w="60"/>
              <w:right w:type="dxa" w:w="80"/>
            </w:tcMar>
          </w:tcPr>
          <w:p>
            <w:pPr>
              <w:spacing w:after="0" w:line="240"/>
            </w:pPr>
            <w:r>
              <w:rPr>
                <w:b w:val="false"/>
                <w:bCs w:val="false"/>
                <w:sz w:val="18"/>
                <w:szCs w:val="18"/>
              </w:rPr>
              <w:t xml:space="preserve">Assumed; scales the observed self-printed count to the national estate, not a measurement</w:t>
            </w:r>
          </w:p>
        </w:tc>
      </w:tr>
    </w:tbl>
    <w:p>
      <w:pPr>
        <w:spacing w:after="200"/>
      </w:pPr>
    </w:p>
    <w:p>
      <w:pPr>
        <w:spacing w:after="160" w:line="320"/>
      </w:pPr>
      <w:r>
        <w:t xml:space="preserve">Retention periods were 30 years for outpatient antenatal documentation and 50 years for inpatient ward and delivery documentation. Every value above is held in the analysis parameter file; changing one and re-running regenerates all tables and figures.</w:t>
      </w:r>
    </w:p>
    <w:p>
      <w:pPr>
        <w:pBdr>
          <w:bottom w:val="single" w:color="CCCCCC" w:sz="6"/>
        </w:pBdr>
        <w:spacing w:after="200" w:before="200"/>
      </w:pPr>
    </w:p>
    <w:p>
      <w:pPr>
        <w:pStyle w:val="Heading1"/>
        <w:spacing w:after="200" w:before="400"/>
      </w:pPr>
      <w:r>
        <w:rPr>
          <w:b/>
          <w:bCs/>
          <w:sz w:val="24"/>
          <w:szCs w:val="24"/>
        </w:rPr>
        <w:t xml:space="preserve">SUPPLEMENTARY TABLE S2</w:t>
      </w:r>
    </w:p>
    <w:p>
      <w:pPr>
        <w:spacing w:after="160" w:line="320"/>
      </w:pPr>
      <w:r>
        <w:t xml:space="preserve">Full cost, staff-time, space and environmental breakdown by scenario, at departmental and national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rPr>
          <w:tblHeader/>
        </w:trPr>
        <w:tc>
          <w:tcPr>
            <w:tcW w:type="dxa" w:w="3008"/>
            <w:shd w:fill="F2F2F2" w:val="clear"/>
            <w:tcMar>
              <w:top w:type="dxa" w:w="60"/>
              <w:left w:type="dxa" w:w="80"/>
              <w:bottom w:type="dxa" w:w="60"/>
              <w:right w:type="dxa" w:w="80"/>
            </w:tcMar>
          </w:tcPr>
          <w:p>
            <w:pPr>
              <w:spacing w:after="0" w:line="240"/>
            </w:pPr>
            <w:r>
              <w:rPr>
                <w:b/>
                <w:bCs/>
                <w:sz w:val="18"/>
                <w:szCs w:val="18"/>
              </w:rPr>
              <w:t xml:space="preserve">Cost component</w:t>
            </w:r>
          </w:p>
        </w:tc>
        <w:tc>
          <w:tcPr>
            <w:tcW w:type="dxa" w:w="3009"/>
            <w:shd w:fill="F2F2F2" w:val="clear"/>
            <w:tcMar>
              <w:top w:type="dxa" w:w="60"/>
              <w:left w:type="dxa" w:w="80"/>
              <w:bottom w:type="dxa" w:w="60"/>
              <w:right w:type="dxa" w:w="80"/>
            </w:tcMar>
          </w:tcPr>
          <w:p>
            <w:pPr>
              <w:spacing w:after="0" w:line="240"/>
            </w:pPr>
            <w:r>
              <w:rPr>
                <w:b/>
                <w:bCs/>
                <w:sz w:val="18"/>
                <w:szCs w:val="18"/>
              </w:rPr>
              <w:t xml:space="preserve">University department (2,000/y)</w:t>
            </w:r>
          </w:p>
        </w:tc>
        <w:tc>
          <w:tcPr>
            <w:tcW w:type="dxa" w:w="3009"/>
            <w:shd w:fill="F2F2F2" w:val="clear"/>
            <w:tcMar>
              <w:top w:type="dxa" w:w="60"/>
              <w:left w:type="dxa" w:w="80"/>
              <w:bottom w:type="dxa" w:w="60"/>
              <w:right w:type="dxa" w:w="80"/>
            </w:tcMar>
          </w:tcPr>
          <w:p>
            <w:pPr>
              <w:spacing w:after="0" w:line="240"/>
            </w:pPr>
            <w:r>
              <w:rPr>
                <w:b/>
                <w:bCs/>
                <w:sz w:val="18"/>
                <w:szCs w:val="18"/>
              </w:rPr>
              <w:t xml:space="preserve">Hungary (77,500/y)</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Current practice</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1.63 M</w:t>
            </w:r>
          </w:p>
        </w:tc>
        <w:tc>
          <w:tcPr>
            <w:tcW w:type="dxa" w:w="3009"/>
            <w:tcMar>
              <w:top w:type="dxa" w:w="60"/>
              <w:left w:type="dxa" w:w="80"/>
              <w:bottom w:type="dxa" w:w="60"/>
              <w:right w:type="dxa" w:w="80"/>
            </w:tcMar>
          </w:tcPr>
          <w:p>
            <w:pPr>
              <w:spacing w:after="0" w:line="240"/>
            </w:pPr>
            <w:r>
              <w:rPr>
                <w:b w:val="false"/>
                <w:bCs w:val="false"/>
                <w:sz w:val="18"/>
                <w:szCs w:val="18"/>
              </w:rPr>
              <w:t xml:space="preserve">63.08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672.04k</w:t>
            </w:r>
          </w:p>
        </w:tc>
        <w:tc>
          <w:tcPr>
            <w:tcW w:type="dxa" w:w="3009"/>
            <w:tcMar>
              <w:top w:type="dxa" w:w="60"/>
              <w:left w:type="dxa" w:w="80"/>
              <w:bottom w:type="dxa" w:w="60"/>
              <w:right w:type="dxa" w:w="80"/>
            </w:tcMar>
          </w:tcPr>
          <w:p>
            <w:pPr>
              <w:spacing w:after="0" w:line="240"/>
            </w:pPr>
            <w:r>
              <w:rPr>
                <w:b w:val="false"/>
                <w:bCs w:val="false"/>
                <w:sz w:val="18"/>
                <w:szCs w:val="18"/>
              </w:rPr>
              <w:t xml:space="preserve">26.04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2.44 M</w:t>
            </w:r>
          </w:p>
        </w:tc>
        <w:tc>
          <w:tcPr>
            <w:tcW w:type="dxa" w:w="3009"/>
            <w:tcMar>
              <w:top w:type="dxa" w:w="60"/>
              <w:left w:type="dxa" w:w="80"/>
              <w:bottom w:type="dxa" w:w="60"/>
              <w:right w:type="dxa" w:w="80"/>
            </w:tcMar>
          </w:tcPr>
          <w:p>
            <w:pPr>
              <w:spacing w:after="0" w:line="240"/>
            </w:pPr>
            <w:r>
              <w:rPr>
                <w:b w:val="false"/>
                <w:bCs w:val="false"/>
                <w:sz w:val="18"/>
                <w:szCs w:val="18"/>
              </w:rPr>
              <w:t xml:space="preserve">94.54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3.10 M</w:t>
            </w:r>
          </w:p>
        </w:tc>
        <w:tc>
          <w:tcPr>
            <w:tcW w:type="dxa" w:w="3009"/>
            <w:tcMar>
              <w:top w:type="dxa" w:w="60"/>
              <w:left w:type="dxa" w:w="80"/>
              <w:bottom w:type="dxa" w:w="60"/>
              <w:right w:type="dxa" w:w="80"/>
            </w:tcMar>
          </w:tcPr>
          <w:p>
            <w:pPr>
              <w:spacing w:after="0" w:line="240"/>
            </w:pPr>
            <w:r>
              <w:rPr>
                <w:b w:val="false"/>
                <w:bCs w:val="false"/>
                <w:sz w:val="18"/>
                <w:szCs w:val="18"/>
              </w:rPr>
              <w:t xml:space="preserve">120.07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20.83 M</w:t>
            </w:r>
          </w:p>
        </w:tc>
        <w:tc>
          <w:tcPr>
            <w:tcW w:type="dxa" w:w="3009"/>
            <w:tcMar>
              <w:top w:type="dxa" w:w="60"/>
              <w:left w:type="dxa" w:w="80"/>
              <w:bottom w:type="dxa" w:w="60"/>
              <w:right w:type="dxa" w:w="80"/>
            </w:tcMar>
          </w:tcPr>
          <w:p>
            <w:pPr>
              <w:spacing w:after="0" w:line="240"/>
            </w:pPr>
            <w:r>
              <w:rPr>
                <w:b w:val="false"/>
                <w:bCs w:val="false"/>
                <w:sz w:val="18"/>
                <w:szCs w:val="18"/>
              </w:rPr>
              <w:t xml:space="preserve">807.21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1,220</w:t>
            </w:r>
          </w:p>
        </w:tc>
        <w:tc>
          <w:tcPr>
            <w:tcW w:type="dxa" w:w="3009"/>
            <w:tcMar>
              <w:top w:type="dxa" w:w="60"/>
              <w:left w:type="dxa" w:w="80"/>
              <w:bottom w:type="dxa" w:w="60"/>
              <w:right w:type="dxa" w:w="80"/>
            </w:tcMar>
          </w:tcPr>
          <w:p>
            <w:pPr>
              <w:spacing w:after="0" w:line="240"/>
            </w:pPr>
            <w:r>
              <w:rPr>
                <w:b w:val="false"/>
                <w:bCs w:val="false"/>
                <w:sz w:val="18"/>
                <w:szCs w:val="18"/>
              </w:rPr>
              <w:t xml:space="preserve">1,220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231.54 M</w:t>
            </w:r>
          </w:p>
        </w:tc>
        <w:tc>
          <w:tcPr>
            <w:tcW w:type="dxa" w:w="3009"/>
            <w:tcMar>
              <w:top w:type="dxa" w:w="60"/>
              <w:left w:type="dxa" w:w="80"/>
              <w:bottom w:type="dxa" w:w="60"/>
              <w:right w:type="dxa" w:w="80"/>
            </w:tcMar>
          </w:tcPr>
          <w:p>
            <w:pPr>
              <w:spacing w:after="0" w:line="240"/>
            </w:pPr>
            <w:r>
              <w:rPr>
                <w:b w:val="false"/>
                <w:bCs w:val="false"/>
                <w:sz w:val="18"/>
                <w:szCs w:val="18"/>
              </w:rPr>
              <w:t xml:space="preserve">8.97 bn</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115,772</w:t>
            </w:r>
          </w:p>
        </w:tc>
        <w:tc>
          <w:tcPr>
            <w:tcW w:type="dxa" w:w="3009"/>
            <w:tcMar>
              <w:top w:type="dxa" w:w="60"/>
              <w:left w:type="dxa" w:w="80"/>
              <w:bottom w:type="dxa" w:w="60"/>
              <w:right w:type="dxa" w:w="80"/>
            </w:tcMar>
          </w:tcPr>
          <w:p>
            <w:pPr>
              <w:spacing w:after="0" w:line="240"/>
            </w:pPr>
            <w:r>
              <w:rPr>
                <w:b w:val="false"/>
                <w:bCs w:val="false"/>
                <w:sz w:val="18"/>
                <w:szCs w:val="18"/>
              </w:rPr>
              <w:t xml:space="preserve">115,772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148 m²</w:t>
            </w:r>
          </w:p>
        </w:tc>
        <w:tc>
          <w:tcPr>
            <w:tcW w:type="dxa" w:w="3009"/>
            <w:tcMar>
              <w:top w:type="dxa" w:w="60"/>
              <w:left w:type="dxa" w:w="80"/>
              <w:bottom w:type="dxa" w:w="60"/>
              <w:right w:type="dxa" w:w="80"/>
            </w:tcMar>
          </w:tcPr>
          <w:p>
            <w:pPr>
              <w:spacing w:after="0" w:line="240"/>
            </w:pPr>
            <w:r>
              <w:rPr>
                <w:b w:val="false"/>
                <w:bCs w:val="false"/>
                <w:sz w:val="18"/>
                <w:szCs w:val="18"/>
              </w:rPr>
              <w:t xml:space="preserve">5,751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8</w:t>
            </w:r>
          </w:p>
        </w:tc>
        <w:tc>
          <w:tcPr>
            <w:tcW w:type="dxa" w:w="3009"/>
            <w:tcMar>
              <w:top w:type="dxa" w:w="60"/>
              <w:left w:type="dxa" w:w="80"/>
              <w:bottom w:type="dxa" w:w="60"/>
              <w:right w:type="dxa" w:w="80"/>
            </w:tcMar>
          </w:tcPr>
          <w:p>
            <w:pPr>
              <w:spacing w:after="0" w:line="240"/>
            </w:pPr>
            <w:r>
              <w:rPr>
                <w:b w:val="false"/>
                <w:bCs w:val="false"/>
                <w:sz w:val="18"/>
                <w:szCs w:val="18"/>
              </w:rPr>
              <w:t xml:space="preserve">320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91,280</w:t>
            </w:r>
          </w:p>
        </w:tc>
        <w:tc>
          <w:tcPr>
            <w:tcW w:type="dxa" w:w="3009"/>
            <w:tcMar>
              <w:top w:type="dxa" w:w="60"/>
              <w:left w:type="dxa" w:w="80"/>
              <w:bottom w:type="dxa" w:w="60"/>
              <w:right w:type="dxa" w:w="80"/>
            </w:tcMar>
          </w:tcPr>
          <w:p>
            <w:pPr>
              <w:spacing w:after="0" w:line="240"/>
            </w:pPr>
            <w:r>
              <w:rPr>
                <w:b w:val="false"/>
                <w:bCs w:val="false"/>
                <w:sz w:val="18"/>
                <w:szCs w:val="18"/>
              </w:rPr>
              <w:t xml:space="preserve">3,537,100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761</w:t>
            </w:r>
          </w:p>
        </w:tc>
        <w:tc>
          <w:tcPr>
            <w:tcW w:type="dxa" w:w="3009"/>
            <w:tcMar>
              <w:top w:type="dxa" w:w="60"/>
              <w:left w:type="dxa" w:w="80"/>
              <w:bottom w:type="dxa" w:w="60"/>
              <w:right w:type="dxa" w:w="80"/>
            </w:tcMar>
          </w:tcPr>
          <w:p>
            <w:pPr>
              <w:spacing w:after="0" w:line="240"/>
            </w:pPr>
            <w:r>
              <w:rPr>
                <w:b w:val="false"/>
                <w:bCs w:val="false"/>
                <w:sz w:val="18"/>
                <w:szCs w:val="18"/>
              </w:rPr>
              <w:t xml:space="preserve">29,476</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0.44 (0.29–0.88)</w:t>
            </w:r>
          </w:p>
        </w:tc>
        <w:tc>
          <w:tcPr>
            <w:tcW w:type="dxa" w:w="3009"/>
            <w:tcMar>
              <w:top w:type="dxa" w:w="60"/>
              <w:left w:type="dxa" w:w="80"/>
              <w:bottom w:type="dxa" w:w="60"/>
              <w:right w:type="dxa" w:w="80"/>
            </w:tcMar>
          </w:tcPr>
          <w:p>
            <w:pPr>
              <w:spacing w:after="0" w:line="240"/>
            </w:pPr>
            <w:r>
              <w:rPr>
                <w:b w:val="false"/>
                <w:bCs w:val="false"/>
                <w:sz w:val="18"/>
                <w:szCs w:val="18"/>
              </w:rPr>
              <w:t xml:space="preserve">17.1 (11.4–34.3)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22.8</w:t>
            </w:r>
          </w:p>
        </w:tc>
        <w:tc>
          <w:tcPr>
            <w:tcW w:type="dxa" w:w="3009"/>
            <w:tcMar>
              <w:top w:type="dxa" w:w="60"/>
              <w:left w:type="dxa" w:w="80"/>
              <w:bottom w:type="dxa" w:w="60"/>
              <w:right w:type="dxa" w:w="80"/>
            </w:tcMar>
          </w:tcPr>
          <w:p>
            <w:pPr>
              <w:spacing w:after="0" w:line="240"/>
            </w:pPr>
            <w:r>
              <w:rPr>
                <w:b w:val="false"/>
                <w:bCs w:val="false"/>
                <w:sz w:val="18"/>
                <w:szCs w:val="18"/>
              </w:rPr>
              <w:t xml:space="preserve">22.8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t CO2e per year</w:t>
            </w:r>
          </w:p>
        </w:tc>
        <w:tc>
          <w:tcPr>
            <w:tcW w:type="dxa" w:w="3009"/>
            <w:tcMar>
              <w:top w:type="dxa" w:w="60"/>
              <w:left w:type="dxa" w:w="80"/>
              <w:bottom w:type="dxa" w:w="60"/>
              <w:right w:type="dxa" w:w="80"/>
            </w:tcMar>
          </w:tcPr>
          <w:p>
            <w:pPr>
              <w:spacing w:after="0" w:line="240"/>
            </w:pPr>
            <w:r>
              <w:rPr>
                <w:b w:val="false"/>
                <w:bCs w:val="false"/>
                <w:sz w:val="18"/>
                <w:szCs w:val="18"/>
              </w:rPr>
              <w:t xml:space="preserve">1.18 (0.75–2.45)</w:t>
            </w:r>
          </w:p>
        </w:tc>
        <w:tc>
          <w:tcPr>
            <w:tcW w:type="dxa" w:w="3009"/>
            <w:tcMar>
              <w:top w:type="dxa" w:w="60"/>
              <w:left w:type="dxa" w:w="80"/>
              <w:bottom w:type="dxa" w:w="60"/>
              <w:right w:type="dxa" w:w="80"/>
            </w:tcMar>
          </w:tcPr>
          <w:p>
            <w:pPr>
              <w:spacing w:after="0" w:line="240"/>
            </w:pPr>
            <w:r>
              <w:rPr>
                <w:b w:val="false"/>
                <w:bCs w:val="false"/>
                <w:sz w:val="18"/>
                <w:szCs w:val="18"/>
              </w:rPr>
              <w:t xml:space="preserve">45.7 (29.2–95.1)</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kg CO2e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0.59</w:t>
            </w:r>
          </w:p>
        </w:tc>
        <w:tc>
          <w:tcPr>
            <w:tcW w:type="dxa" w:w="3009"/>
            <w:tcMar>
              <w:top w:type="dxa" w:w="60"/>
              <w:left w:type="dxa" w:w="80"/>
              <w:bottom w:type="dxa" w:w="60"/>
              <w:right w:type="dxa" w:w="80"/>
            </w:tcMar>
          </w:tcPr>
          <w:p>
            <w:pPr>
              <w:spacing w:after="0" w:line="240"/>
            </w:pPr>
            <w:r>
              <w:rPr>
                <w:b w:val="false"/>
                <w:bCs w:val="false"/>
                <w:sz w:val="18"/>
                <w:szCs w:val="18"/>
              </w:rPr>
              <w:t xml:space="preserve">0.59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m³ per year</w:t>
            </w:r>
          </w:p>
        </w:tc>
        <w:tc>
          <w:tcPr>
            <w:tcW w:type="dxa" w:w="3009"/>
            <w:tcMar>
              <w:top w:type="dxa" w:w="60"/>
              <w:left w:type="dxa" w:w="80"/>
              <w:bottom w:type="dxa" w:w="60"/>
              <w:right w:type="dxa" w:w="80"/>
            </w:tcMar>
          </w:tcPr>
          <w:p>
            <w:pPr>
              <w:spacing w:after="0" w:line="240"/>
            </w:pPr>
            <w:r>
              <w:rPr>
                <w:b w:val="false"/>
                <w:bCs w:val="false"/>
                <w:sz w:val="18"/>
                <w:szCs w:val="18"/>
              </w:rPr>
              <w:t xml:space="preserve">1,798 (372–3,224)</w:t>
            </w:r>
          </w:p>
        </w:tc>
        <w:tc>
          <w:tcPr>
            <w:tcW w:type="dxa" w:w="3009"/>
            <w:tcMar>
              <w:top w:type="dxa" w:w="60"/>
              <w:left w:type="dxa" w:w="80"/>
              <w:bottom w:type="dxa" w:w="60"/>
              <w:right w:type="dxa" w:w="80"/>
            </w:tcMar>
          </w:tcPr>
          <w:p>
            <w:pPr>
              <w:spacing w:after="0" w:line="240"/>
            </w:pPr>
            <w:r>
              <w:rPr>
                <w:b w:val="false"/>
                <w:bCs w:val="false"/>
                <w:sz w:val="18"/>
                <w:szCs w:val="18"/>
              </w:rPr>
              <w:t xml:space="preserve">69,679 (14,416–124,942)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litres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899</w:t>
            </w:r>
          </w:p>
        </w:tc>
        <w:tc>
          <w:tcPr>
            <w:tcW w:type="dxa" w:w="3009"/>
            <w:tcMar>
              <w:top w:type="dxa" w:w="60"/>
              <w:left w:type="dxa" w:w="80"/>
              <w:bottom w:type="dxa" w:w="60"/>
              <w:right w:type="dxa" w:w="80"/>
            </w:tcMar>
          </w:tcPr>
          <w:p>
            <w:pPr>
              <w:spacing w:after="0" w:line="240"/>
            </w:pPr>
            <w:r>
              <w:rPr>
                <w:b w:val="false"/>
                <w:bCs w:val="false"/>
                <w:sz w:val="18"/>
                <w:szCs w:val="18"/>
              </w:rPr>
              <w:t xml:space="preserve">899</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Duplex printing</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1.63 M</w:t>
            </w:r>
          </w:p>
        </w:tc>
        <w:tc>
          <w:tcPr>
            <w:tcW w:type="dxa" w:w="3009"/>
            <w:tcMar>
              <w:top w:type="dxa" w:w="60"/>
              <w:left w:type="dxa" w:w="80"/>
              <w:bottom w:type="dxa" w:w="60"/>
              <w:right w:type="dxa" w:w="80"/>
            </w:tcMar>
          </w:tcPr>
          <w:p>
            <w:pPr>
              <w:spacing w:after="0" w:line="240"/>
            </w:pPr>
            <w:r>
              <w:rPr>
                <w:b w:val="false"/>
                <w:bCs w:val="false"/>
                <w:sz w:val="18"/>
                <w:szCs w:val="18"/>
              </w:rPr>
              <w:t xml:space="preserve">63.08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345.36k</w:t>
            </w:r>
          </w:p>
        </w:tc>
        <w:tc>
          <w:tcPr>
            <w:tcW w:type="dxa" w:w="3009"/>
            <w:tcMar>
              <w:top w:type="dxa" w:w="60"/>
              <w:left w:type="dxa" w:w="80"/>
              <w:bottom w:type="dxa" w:w="60"/>
              <w:right w:type="dxa" w:w="80"/>
            </w:tcMar>
          </w:tcPr>
          <w:p>
            <w:pPr>
              <w:spacing w:after="0" w:line="240"/>
            </w:pPr>
            <w:r>
              <w:rPr>
                <w:b w:val="false"/>
                <w:bCs w:val="false"/>
                <w:sz w:val="18"/>
                <w:szCs w:val="18"/>
              </w:rPr>
              <w:t xml:space="preserve">13.38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2.11 M</w:t>
            </w:r>
          </w:p>
        </w:tc>
        <w:tc>
          <w:tcPr>
            <w:tcW w:type="dxa" w:w="3009"/>
            <w:tcMar>
              <w:top w:type="dxa" w:w="60"/>
              <w:left w:type="dxa" w:w="80"/>
              <w:bottom w:type="dxa" w:w="60"/>
              <w:right w:type="dxa" w:w="80"/>
            </w:tcMar>
          </w:tcPr>
          <w:p>
            <w:pPr>
              <w:spacing w:after="0" w:line="240"/>
            </w:pPr>
            <w:r>
              <w:rPr>
                <w:b w:val="false"/>
                <w:bCs w:val="false"/>
                <w:sz w:val="18"/>
                <w:szCs w:val="18"/>
              </w:rPr>
              <w:t xml:space="preserve">81.88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2.68 M</w:t>
            </w:r>
          </w:p>
        </w:tc>
        <w:tc>
          <w:tcPr>
            <w:tcW w:type="dxa" w:w="3009"/>
            <w:tcMar>
              <w:top w:type="dxa" w:w="60"/>
              <w:left w:type="dxa" w:w="80"/>
              <w:bottom w:type="dxa" w:w="60"/>
              <w:right w:type="dxa" w:w="80"/>
            </w:tcMar>
          </w:tcPr>
          <w:p>
            <w:pPr>
              <w:spacing w:after="0" w:line="240"/>
            </w:pPr>
            <w:r>
              <w:rPr>
                <w:b w:val="false"/>
                <w:bCs w:val="false"/>
                <w:sz w:val="18"/>
                <w:szCs w:val="18"/>
              </w:rPr>
              <w:t xml:space="preserve">103.99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18.04 M</w:t>
            </w:r>
          </w:p>
        </w:tc>
        <w:tc>
          <w:tcPr>
            <w:tcW w:type="dxa" w:w="3009"/>
            <w:tcMar>
              <w:top w:type="dxa" w:w="60"/>
              <w:left w:type="dxa" w:w="80"/>
              <w:bottom w:type="dxa" w:w="60"/>
              <w:right w:type="dxa" w:w="80"/>
            </w:tcMar>
          </w:tcPr>
          <w:p>
            <w:pPr>
              <w:spacing w:after="0" w:line="240"/>
            </w:pPr>
            <w:r>
              <w:rPr>
                <w:b w:val="false"/>
                <w:bCs w:val="false"/>
                <w:sz w:val="18"/>
                <w:szCs w:val="18"/>
              </w:rPr>
              <w:t xml:space="preserve">699.13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1,057</w:t>
            </w:r>
          </w:p>
        </w:tc>
        <w:tc>
          <w:tcPr>
            <w:tcW w:type="dxa" w:w="3009"/>
            <w:tcMar>
              <w:top w:type="dxa" w:w="60"/>
              <w:left w:type="dxa" w:w="80"/>
              <w:bottom w:type="dxa" w:w="60"/>
              <w:right w:type="dxa" w:w="80"/>
            </w:tcMar>
          </w:tcPr>
          <w:p>
            <w:pPr>
              <w:spacing w:after="0" w:line="240"/>
            </w:pPr>
            <w:r>
              <w:rPr>
                <w:b w:val="false"/>
                <w:bCs w:val="false"/>
                <w:sz w:val="18"/>
                <w:szCs w:val="18"/>
              </w:rPr>
              <w:t xml:space="preserve">1,057</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126.00 M</w:t>
            </w:r>
          </w:p>
        </w:tc>
        <w:tc>
          <w:tcPr>
            <w:tcW w:type="dxa" w:w="3009"/>
            <w:tcMar>
              <w:top w:type="dxa" w:w="60"/>
              <w:left w:type="dxa" w:w="80"/>
              <w:bottom w:type="dxa" w:w="60"/>
              <w:right w:type="dxa" w:w="80"/>
            </w:tcMar>
          </w:tcPr>
          <w:p>
            <w:pPr>
              <w:spacing w:after="0" w:line="240"/>
            </w:pPr>
            <w:r>
              <w:rPr>
                <w:b w:val="false"/>
                <w:bCs w:val="false"/>
                <w:sz w:val="18"/>
                <w:szCs w:val="18"/>
              </w:rPr>
              <w:t xml:space="preserve">4.88 bn</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62,998</w:t>
            </w:r>
          </w:p>
        </w:tc>
        <w:tc>
          <w:tcPr>
            <w:tcW w:type="dxa" w:w="3009"/>
            <w:tcMar>
              <w:top w:type="dxa" w:w="60"/>
              <w:left w:type="dxa" w:w="80"/>
              <w:bottom w:type="dxa" w:w="60"/>
              <w:right w:type="dxa" w:w="80"/>
            </w:tcMar>
          </w:tcPr>
          <w:p>
            <w:pPr>
              <w:spacing w:after="0" w:line="240"/>
            </w:pPr>
            <w:r>
              <w:rPr>
                <w:b w:val="false"/>
                <w:bCs w:val="false"/>
                <w:sz w:val="18"/>
                <w:szCs w:val="18"/>
              </w:rPr>
              <w:t xml:space="preserve">62,998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81 m²</w:t>
            </w:r>
          </w:p>
        </w:tc>
        <w:tc>
          <w:tcPr>
            <w:tcW w:type="dxa" w:w="3009"/>
            <w:tcMar>
              <w:top w:type="dxa" w:w="60"/>
              <w:left w:type="dxa" w:w="80"/>
              <w:bottom w:type="dxa" w:w="60"/>
              <w:right w:type="dxa" w:w="80"/>
            </w:tcMar>
          </w:tcPr>
          <w:p>
            <w:pPr>
              <w:spacing w:after="0" w:line="240"/>
            </w:pPr>
            <w:r>
              <w:rPr>
                <w:b w:val="false"/>
                <w:bCs w:val="false"/>
                <w:sz w:val="18"/>
                <w:szCs w:val="18"/>
              </w:rPr>
              <w:t xml:space="preserve">3,130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4</w:t>
            </w:r>
          </w:p>
        </w:tc>
        <w:tc>
          <w:tcPr>
            <w:tcW w:type="dxa" w:w="3009"/>
            <w:tcMar>
              <w:top w:type="dxa" w:w="60"/>
              <w:left w:type="dxa" w:w="80"/>
              <w:bottom w:type="dxa" w:w="60"/>
              <w:right w:type="dxa" w:w="80"/>
            </w:tcMar>
          </w:tcPr>
          <w:p>
            <w:pPr>
              <w:spacing w:after="0" w:line="240"/>
            </w:pPr>
            <w:r>
              <w:rPr>
                <w:b w:val="false"/>
                <w:bCs w:val="false"/>
                <w:sz w:val="18"/>
                <w:szCs w:val="18"/>
              </w:rPr>
              <w:t xml:space="preserve">174</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91,280</w:t>
            </w:r>
          </w:p>
        </w:tc>
        <w:tc>
          <w:tcPr>
            <w:tcW w:type="dxa" w:w="3009"/>
            <w:tcMar>
              <w:top w:type="dxa" w:w="60"/>
              <w:left w:type="dxa" w:w="80"/>
              <w:bottom w:type="dxa" w:w="60"/>
              <w:right w:type="dxa" w:w="80"/>
            </w:tcMar>
          </w:tcPr>
          <w:p>
            <w:pPr>
              <w:spacing w:after="0" w:line="240"/>
            </w:pPr>
            <w:r>
              <w:rPr>
                <w:b w:val="false"/>
                <w:bCs w:val="false"/>
                <w:sz w:val="18"/>
                <w:szCs w:val="18"/>
              </w:rPr>
              <w:t xml:space="preserve">3,537,100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761</w:t>
            </w:r>
          </w:p>
        </w:tc>
        <w:tc>
          <w:tcPr>
            <w:tcW w:type="dxa" w:w="3009"/>
            <w:tcMar>
              <w:top w:type="dxa" w:w="60"/>
              <w:left w:type="dxa" w:w="80"/>
              <w:bottom w:type="dxa" w:w="60"/>
              <w:right w:type="dxa" w:w="80"/>
            </w:tcMar>
          </w:tcPr>
          <w:p>
            <w:pPr>
              <w:spacing w:after="0" w:line="240"/>
            </w:pPr>
            <w:r>
              <w:rPr>
                <w:b w:val="false"/>
                <w:bCs w:val="false"/>
                <w:sz w:val="18"/>
                <w:szCs w:val="18"/>
              </w:rPr>
              <w:t xml:space="preserve">29,476</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0.44 (0.29–0.88)</w:t>
            </w:r>
          </w:p>
        </w:tc>
        <w:tc>
          <w:tcPr>
            <w:tcW w:type="dxa" w:w="3009"/>
            <w:tcMar>
              <w:top w:type="dxa" w:w="60"/>
              <w:left w:type="dxa" w:w="80"/>
              <w:bottom w:type="dxa" w:w="60"/>
              <w:right w:type="dxa" w:w="80"/>
            </w:tcMar>
          </w:tcPr>
          <w:p>
            <w:pPr>
              <w:spacing w:after="0" w:line="240"/>
            </w:pPr>
            <w:r>
              <w:rPr>
                <w:b w:val="false"/>
                <w:bCs w:val="false"/>
                <w:sz w:val="18"/>
                <w:szCs w:val="18"/>
              </w:rPr>
              <w:t xml:space="preserve">17.1 (11.4–34.3)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22.8</w:t>
            </w:r>
          </w:p>
        </w:tc>
        <w:tc>
          <w:tcPr>
            <w:tcW w:type="dxa" w:w="3009"/>
            <w:tcMar>
              <w:top w:type="dxa" w:w="60"/>
              <w:left w:type="dxa" w:w="80"/>
              <w:bottom w:type="dxa" w:w="60"/>
              <w:right w:type="dxa" w:w="80"/>
            </w:tcMar>
          </w:tcPr>
          <w:p>
            <w:pPr>
              <w:spacing w:after="0" w:line="240"/>
            </w:pPr>
            <w:r>
              <w:rPr>
                <w:b w:val="false"/>
                <w:bCs w:val="false"/>
                <w:sz w:val="18"/>
                <w:szCs w:val="18"/>
              </w:rPr>
              <w:t xml:space="preserve">22.8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t CO2e per year</w:t>
            </w:r>
          </w:p>
        </w:tc>
        <w:tc>
          <w:tcPr>
            <w:tcW w:type="dxa" w:w="3009"/>
            <w:tcMar>
              <w:top w:type="dxa" w:w="60"/>
              <w:left w:type="dxa" w:w="80"/>
              <w:bottom w:type="dxa" w:w="60"/>
              <w:right w:type="dxa" w:w="80"/>
            </w:tcMar>
          </w:tcPr>
          <w:p>
            <w:pPr>
              <w:spacing w:after="0" w:line="240"/>
            </w:pPr>
            <w:r>
              <w:rPr>
                <w:b w:val="false"/>
                <w:bCs w:val="false"/>
                <w:sz w:val="18"/>
                <w:szCs w:val="18"/>
              </w:rPr>
              <w:t xml:space="preserve">0.64 (0.41–1.34)</w:t>
            </w:r>
          </w:p>
        </w:tc>
        <w:tc>
          <w:tcPr>
            <w:tcW w:type="dxa" w:w="3009"/>
            <w:tcMar>
              <w:top w:type="dxa" w:w="60"/>
              <w:left w:type="dxa" w:w="80"/>
              <w:bottom w:type="dxa" w:w="60"/>
              <w:right w:type="dxa" w:w="80"/>
            </w:tcMar>
          </w:tcPr>
          <w:p>
            <w:pPr>
              <w:spacing w:after="0" w:line="240"/>
            </w:pPr>
            <w:r>
              <w:rPr>
                <w:b w:val="false"/>
                <w:bCs w:val="false"/>
                <w:sz w:val="18"/>
                <w:szCs w:val="18"/>
              </w:rPr>
              <w:t xml:space="preserve">24.9 (15.9–51.8)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kg CO2e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0.32</w:t>
            </w:r>
          </w:p>
        </w:tc>
        <w:tc>
          <w:tcPr>
            <w:tcW w:type="dxa" w:w="3009"/>
            <w:tcMar>
              <w:top w:type="dxa" w:w="60"/>
              <w:left w:type="dxa" w:w="80"/>
              <w:bottom w:type="dxa" w:w="60"/>
              <w:right w:type="dxa" w:w="80"/>
            </w:tcMar>
          </w:tcPr>
          <w:p>
            <w:pPr>
              <w:spacing w:after="0" w:line="240"/>
            </w:pPr>
            <w:r>
              <w:rPr>
                <w:b w:val="false"/>
                <w:bCs w:val="false"/>
                <w:sz w:val="18"/>
                <w:szCs w:val="18"/>
              </w:rPr>
              <w:t xml:space="preserve">0.32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m³ per year</w:t>
            </w:r>
          </w:p>
        </w:tc>
        <w:tc>
          <w:tcPr>
            <w:tcW w:type="dxa" w:w="3009"/>
            <w:tcMar>
              <w:top w:type="dxa" w:w="60"/>
              <w:left w:type="dxa" w:w="80"/>
              <w:bottom w:type="dxa" w:w="60"/>
              <w:right w:type="dxa" w:w="80"/>
            </w:tcMar>
          </w:tcPr>
          <w:p>
            <w:pPr>
              <w:spacing w:after="0" w:line="240"/>
            </w:pPr>
            <w:r>
              <w:rPr>
                <w:b w:val="false"/>
                <w:bCs w:val="false"/>
                <w:sz w:val="18"/>
                <w:szCs w:val="18"/>
              </w:rPr>
              <w:t xml:space="preserve">980 (203–1,758)</w:t>
            </w:r>
          </w:p>
        </w:tc>
        <w:tc>
          <w:tcPr>
            <w:tcW w:type="dxa" w:w="3009"/>
            <w:tcMar>
              <w:top w:type="dxa" w:w="60"/>
              <w:left w:type="dxa" w:w="80"/>
              <w:bottom w:type="dxa" w:w="60"/>
              <w:right w:type="dxa" w:w="80"/>
            </w:tcMar>
          </w:tcPr>
          <w:p>
            <w:pPr>
              <w:spacing w:after="0" w:line="240"/>
            </w:pPr>
            <w:r>
              <w:rPr>
                <w:b w:val="false"/>
                <w:bCs w:val="false"/>
                <w:sz w:val="18"/>
                <w:szCs w:val="18"/>
              </w:rPr>
              <w:t xml:space="preserve">37,988 (7,860–68,116)</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litres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490</w:t>
            </w:r>
          </w:p>
        </w:tc>
        <w:tc>
          <w:tcPr>
            <w:tcW w:type="dxa" w:w="3009"/>
            <w:tcMar>
              <w:top w:type="dxa" w:w="60"/>
              <w:left w:type="dxa" w:w="80"/>
              <w:bottom w:type="dxa" w:w="60"/>
              <w:right w:type="dxa" w:w="80"/>
            </w:tcMar>
          </w:tcPr>
          <w:p>
            <w:pPr>
              <w:spacing w:after="0" w:line="240"/>
            </w:pPr>
            <w:r>
              <w:rPr>
                <w:b w:val="false"/>
                <w:bCs w:val="false"/>
                <w:sz w:val="18"/>
                <w:szCs w:val="18"/>
              </w:rPr>
              <w:t xml:space="preserve">490</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Electronic result delivery</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494.62k</w:t>
            </w:r>
          </w:p>
        </w:tc>
        <w:tc>
          <w:tcPr>
            <w:tcW w:type="dxa" w:w="3009"/>
            <w:tcMar>
              <w:top w:type="dxa" w:w="60"/>
              <w:left w:type="dxa" w:w="80"/>
              <w:bottom w:type="dxa" w:w="60"/>
              <w:right w:type="dxa" w:w="80"/>
            </w:tcMar>
          </w:tcPr>
          <w:p>
            <w:pPr>
              <w:spacing w:after="0" w:line="240"/>
            </w:pPr>
            <w:r>
              <w:rPr>
                <w:b w:val="false"/>
                <w:bCs w:val="false"/>
                <w:sz w:val="18"/>
                <w:szCs w:val="18"/>
              </w:rPr>
              <w:t xml:space="preserve">19.17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204.21k</w:t>
            </w:r>
          </w:p>
        </w:tc>
        <w:tc>
          <w:tcPr>
            <w:tcW w:type="dxa" w:w="3009"/>
            <w:tcMar>
              <w:top w:type="dxa" w:w="60"/>
              <w:left w:type="dxa" w:w="80"/>
              <w:bottom w:type="dxa" w:w="60"/>
              <w:right w:type="dxa" w:w="80"/>
            </w:tcMar>
          </w:tcPr>
          <w:p>
            <w:pPr>
              <w:spacing w:after="0" w:line="240"/>
            </w:pPr>
            <w:r>
              <w:rPr>
                <w:b w:val="false"/>
                <w:bCs w:val="false"/>
                <w:sz w:val="18"/>
                <w:szCs w:val="18"/>
              </w:rPr>
              <w:t xml:space="preserve">7.91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838.83k</w:t>
            </w:r>
          </w:p>
        </w:tc>
        <w:tc>
          <w:tcPr>
            <w:tcW w:type="dxa" w:w="3009"/>
            <w:tcMar>
              <w:top w:type="dxa" w:w="60"/>
              <w:left w:type="dxa" w:w="80"/>
              <w:bottom w:type="dxa" w:w="60"/>
              <w:right w:type="dxa" w:w="80"/>
            </w:tcMar>
          </w:tcPr>
          <w:p>
            <w:pPr>
              <w:spacing w:after="0" w:line="240"/>
            </w:pPr>
            <w:r>
              <w:rPr>
                <w:b w:val="false"/>
                <w:bCs w:val="false"/>
                <w:sz w:val="18"/>
                <w:szCs w:val="18"/>
              </w:rPr>
              <w:t xml:space="preserve">32.50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1.07 M</w:t>
            </w:r>
          </w:p>
        </w:tc>
        <w:tc>
          <w:tcPr>
            <w:tcW w:type="dxa" w:w="3009"/>
            <w:tcMar>
              <w:top w:type="dxa" w:w="60"/>
              <w:left w:type="dxa" w:w="80"/>
              <w:bottom w:type="dxa" w:w="60"/>
              <w:right w:type="dxa" w:w="80"/>
            </w:tcMar>
          </w:tcPr>
          <w:p>
            <w:pPr>
              <w:spacing w:after="0" w:line="240"/>
            </w:pPr>
            <w:r>
              <w:rPr>
                <w:b w:val="false"/>
                <w:bCs w:val="false"/>
                <w:sz w:val="18"/>
                <w:szCs w:val="18"/>
              </w:rPr>
              <w:t xml:space="preserve">41.28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7.16 M</w:t>
            </w:r>
          </w:p>
        </w:tc>
        <w:tc>
          <w:tcPr>
            <w:tcW w:type="dxa" w:w="3009"/>
            <w:tcMar>
              <w:top w:type="dxa" w:w="60"/>
              <w:left w:type="dxa" w:w="80"/>
              <w:bottom w:type="dxa" w:w="60"/>
              <w:right w:type="dxa" w:w="80"/>
            </w:tcMar>
          </w:tcPr>
          <w:p>
            <w:pPr>
              <w:spacing w:after="0" w:line="240"/>
            </w:pPr>
            <w:r>
              <w:rPr>
                <w:b w:val="false"/>
                <w:bCs w:val="false"/>
                <w:sz w:val="18"/>
                <w:szCs w:val="18"/>
              </w:rPr>
              <w:t xml:space="preserve">277.52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419</w:t>
            </w:r>
          </w:p>
        </w:tc>
        <w:tc>
          <w:tcPr>
            <w:tcW w:type="dxa" w:w="3009"/>
            <w:tcMar>
              <w:top w:type="dxa" w:w="60"/>
              <w:left w:type="dxa" w:w="80"/>
              <w:bottom w:type="dxa" w:w="60"/>
              <w:right w:type="dxa" w:w="80"/>
            </w:tcMar>
          </w:tcPr>
          <w:p>
            <w:pPr>
              <w:spacing w:after="0" w:line="240"/>
            </w:pPr>
            <w:r>
              <w:rPr>
                <w:b w:val="false"/>
                <w:bCs w:val="false"/>
                <w:sz w:val="18"/>
                <w:szCs w:val="18"/>
              </w:rPr>
              <w:t xml:space="preserve">419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93.80 M</w:t>
            </w:r>
          </w:p>
        </w:tc>
        <w:tc>
          <w:tcPr>
            <w:tcW w:type="dxa" w:w="3009"/>
            <w:tcMar>
              <w:top w:type="dxa" w:w="60"/>
              <w:left w:type="dxa" w:w="80"/>
              <w:bottom w:type="dxa" w:w="60"/>
              <w:right w:type="dxa" w:w="80"/>
            </w:tcMar>
          </w:tcPr>
          <w:p>
            <w:pPr>
              <w:spacing w:after="0" w:line="240"/>
            </w:pPr>
            <w:r>
              <w:rPr>
                <w:b w:val="false"/>
                <w:bCs w:val="false"/>
                <w:sz w:val="18"/>
                <w:szCs w:val="18"/>
              </w:rPr>
              <w:t xml:space="preserve">3.63 bn</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46,899</w:t>
            </w:r>
          </w:p>
        </w:tc>
        <w:tc>
          <w:tcPr>
            <w:tcW w:type="dxa" w:w="3009"/>
            <w:tcMar>
              <w:top w:type="dxa" w:w="60"/>
              <w:left w:type="dxa" w:w="80"/>
              <w:bottom w:type="dxa" w:w="60"/>
              <w:right w:type="dxa" w:w="80"/>
            </w:tcMar>
          </w:tcPr>
          <w:p>
            <w:pPr>
              <w:spacing w:after="0" w:line="240"/>
            </w:pPr>
            <w:r>
              <w:rPr>
                <w:b w:val="false"/>
                <w:bCs w:val="false"/>
                <w:sz w:val="18"/>
                <w:szCs w:val="18"/>
              </w:rPr>
              <w:t xml:space="preserve">46,899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60 m²</w:t>
            </w:r>
          </w:p>
        </w:tc>
        <w:tc>
          <w:tcPr>
            <w:tcW w:type="dxa" w:w="3009"/>
            <w:tcMar>
              <w:top w:type="dxa" w:w="60"/>
              <w:left w:type="dxa" w:w="80"/>
              <w:bottom w:type="dxa" w:w="60"/>
              <w:right w:type="dxa" w:w="80"/>
            </w:tcMar>
          </w:tcPr>
          <w:p>
            <w:pPr>
              <w:spacing w:after="0" w:line="240"/>
            </w:pPr>
            <w:r>
              <w:rPr>
                <w:b w:val="false"/>
                <w:bCs w:val="false"/>
                <w:sz w:val="18"/>
                <w:szCs w:val="18"/>
              </w:rPr>
              <w:t xml:space="preserve">2,330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3</w:t>
            </w:r>
          </w:p>
        </w:tc>
        <w:tc>
          <w:tcPr>
            <w:tcW w:type="dxa" w:w="3009"/>
            <w:tcMar>
              <w:top w:type="dxa" w:w="60"/>
              <w:left w:type="dxa" w:w="80"/>
              <w:bottom w:type="dxa" w:w="60"/>
              <w:right w:type="dxa" w:w="80"/>
            </w:tcMar>
          </w:tcPr>
          <w:p>
            <w:pPr>
              <w:spacing w:after="0" w:line="240"/>
            </w:pPr>
            <w:r>
              <w:rPr>
                <w:b w:val="false"/>
                <w:bCs w:val="false"/>
                <w:sz w:val="18"/>
                <w:szCs w:val="18"/>
              </w:rPr>
              <w:t xml:space="preserve">129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35,300</w:t>
            </w:r>
          </w:p>
        </w:tc>
        <w:tc>
          <w:tcPr>
            <w:tcW w:type="dxa" w:w="3009"/>
            <w:tcMar>
              <w:top w:type="dxa" w:w="60"/>
              <w:left w:type="dxa" w:w="80"/>
              <w:bottom w:type="dxa" w:w="60"/>
              <w:right w:type="dxa" w:w="80"/>
            </w:tcMar>
          </w:tcPr>
          <w:p>
            <w:pPr>
              <w:spacing w:after="0" w:line="240"/>
            </w:pPr>
            <w:r>
              <w:rPr>
                <w:b w:val="false"/>
                <w:bCs w:val="false"/>
                <w:sz w:val="18"/>
                <w:szCs w:val="18"/>
              </w:rPr>
              <w:t xml:space="preserve">1,367,875</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294</w:t>
            </w:r>
          </w:p>
        </w:tc>
        <w:tc>
          <w:tcPr>
            <w:tcW w:type="dxa" w:w="3009"/>
            <w:tcMar>
              <w:top w:type="dxa" w:w="60"/>
              <w:left w:type="dxa" w:w="80"/>
              <w:bottom w:type="dxa" w:w="60"/>
              <w:right w:type="dxa" w:w="80"/>
            </w:tcMar>
          </w:tcPr>
          <w:p>
            <w:pPr>
              <w:spacing w:after="0" w:line="240"/>
            </w:pPr>
            <w:r>
              <w:rPr>
                <w:b w:val="false"/>
                <w:bCs w:val="false"/>
                <w:sz w:val="18"/>
                <w:szCs w:val="18"/>
              </w:rPr>
              <w:t xml:space="preserve">11,399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0.17 (0.11–0.34)</w:t>
            </w:r>
          </w:p>
        </w:tc>
        <w:tc>
          <w:tcPr>
            <w:tcW w:type="dxa" w:w="3009"/>
            <w:tcMar>
              <w:top w:type="dxa" w:w="60"/>
              <w:left w:type="dxa" w:w="80"/>
              <w:bottom w:type="dxa" w:w="60"/>
              <w:right w:type="dxa" w:w="80"/>
            </w:tcMar>
          </w:tcPr>
          <w:p>
            <w:pPr>
              <w:spacing w:after="0" w:line="240"/>
            </w:pPr>
            <w:r>
              <w:rPr>
                <w:b w:val="false"/>
                <w:bCs w:val="false"/>
                <w:sz w:val="18"/>
                <w:szCs w:val="18"/>
              </w:rPr>
              <w:t xml:space="preserve">6.6 (4.4–13.3)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8.8</w:t>
            </w:r>
          </w:p>
        </w:tc>
        <w:tc>
          <w:tcPr>
            <w:tcW w:type="dxa" w:w="3009"/>
            <w:tcMar>
              <w:top w:type="dxa" w:w="60"/>
              <w:left w:type="dxa" w:w="80"/>
              <w:bottom w:type="dxa" w:w="60"/>
              <w:right w:type="dxa" w:w="80"/>
            </w:tcMar>
          </w:tcPr>
          <w:p>
            <w:pPr>
              <w:spacing w:after="0" w:line="240"/>
            </w:pPr>
            <w:r>
              <w:rPr>
                <w:b w:val="false"/>
                <w:bCs w:val="false"/>
                <w:sz w:val="18"/>
                <w:szCs w:val="18"/>
              </w:rPr>
              <w:t xml:space="preserve">8.8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t CO2e per year</w:t>
            </w:r>
          </w:p>
        </w:tc>
        <w:tc>
          <w:tcPr>
            <w:tcW w:type="dxa" w:w="3009"/>
            <w:tcMar>
              <w:top w:type="dxa" w:w="60"/>
              <w:left w:type="dxa" w:w="80"/>
              <w:bottom w:type="dxa" w:w="60"/>
              <w:right w:type="dxa" w:w="80"/>
            </w:tcMar>
          </w:tcPr>
          <w:p>
            <w:pPr>
              <w:spacing w:after="0" w:line="240"/>
            </w:pPr>
            <w:r>
              <w:rPr>
                <w:b w:val="false"/>
                <w:bCs w:val="false"/>
                <w:sz w:val="18"/>
                <w:szCs w:val="18"/>
              </w:rPr>
              <w:t xml:space="preserve">0.41 (0.26–0.86)</w:t>
            </w:r>
          </w:p>
        </w:tc>
        <w:tc>
          <w:tcPr>
            <w:tcW w:type="dxa" w:w="3009"/>
            <w:tcMar>
              <w:top w:type="dxa" w:w="60"/>
              <w:left w:type="dxa" w:w="80"/>
              <w:bottom w:type="dxa" w:w="60"/>
              <w:right w:type="dxa" w:w="80"/>
            </w:tcMar>
          </w:tcPr>
          <w:p>
            <w:pPr>
              <w:spacing w:after="0" w:line="240"/>
            </w:pPr>
            <w:r>
              <w:rPr>
                <w:b w:val="false"/>
                <w:bCs w:val="false"/>
                <w:sz w:val="18"/>
                <w:szCs w:val="18"/>
              </w:rPr>
              <w:t xml:space="preserve">15.9 (10.2–33.1)</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kg CO2e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0.21</w:t>
            </w:r>
          </w:p>
        </w:tc>
        <w:tc>
          <w:tcPr>
            <w:tcW w:type="dxa" w:w="3009"/>
            <w:tcMar>
              <w:top w:type="dxa" w:w="60"/>
              <w:left w:type="dxa" w:w="80"/>
              <w:bottom w:type="dxa" w:w="60"/>
              <w:right w:type="dxa" w:w="80"/>
            </w:tcMar>
          </w:tcPr>
          <w:p>
            <w:pPr>
              <w:spacing w:after="0" w:line="240"/>
            </w:pPr>
            <w:r>
              <w:rPr>
                <w:b w:val="false"/>
                <w:bCs w:val="false"/>
                <w:sz w:val="18"/>
                <w:szCs w:val="18"/>
              </w:rPr>
              <w:t xml:space="preserve">0.21</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m³ per year</w:t>
            </w:r>
          </w:p>
        </w:tc>
        <w:tc>
          <w:tcPr>
            <w:tcW w:type="dxa" w:w="3009"/>
            <w:tcMar>
              <w:top w:type="dxa" w:w="60"/>
              <w:left w:type="dxa" w:w="80"/>
              <w:bottom w:type="dxa" w:w="60"/>
              <w:right w:type="dxa" w:w="80"/>
            </w:tcMar>
          </w:tcPr>
          <w:p>
            <w:pPr>
              <w:spacing w:after="0" w:line="240"/>
            </w:pPr>
            <w:r>
              <w:rPr>
                <w:b w:val="false"/>
                <w:bCs w:val="false"/>
                <w:sz w:val="18"/>
                <w:szCs w:val="18"/>
              </w:rPr>
              <w:t xml:space="preserve">627 (130–1,124)</w:t>
            </w:r>
          </w:p>
        </w:tc>
        <w:tc>
          <w:tcPr>
            <w:tcW w:type="dxa" w:w="3009"/>
            <w:tcMar>
              <w:top w:type="dxa" w:w="60"/>
              <w:left w:type="dxa" w:w="80"/>
              <w:bottom w:type="dxa" w:w="60"/>
              <w:right w:type="dxa" w:w="80"/>
            </w:tcMar>
          </w:tcPr>
          <w:p>
            <w:pPr>
              <w:spacing w:after="0" w:line="240"/>
            </w:pPr>
            <w:r>
              <w:rPr>
                <w:b w:val="false"/>
                <w:bCs w:val="false"/>
                <w:sz w:val="18"/>
                <w:szCs w:val="18"/>
              </w:rPr>
              <w:t xml:space="preserve">24,295 (5,027–43,564)</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litres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313</w:t>
            </w:r>
          </w:p>
        </w:tc>
        <w:tc>
          <w:tcPr>
            <w:tcW w:type="dxa" w:w="3009"/>
            <w:tcMar>
              <w:top w:type="dxa" w:w="60"/>
              <w:left w:type="dxa" w:w="80"/>
              <w:bottom w:type="dxa" w:w="60"/>
              <w:right w:type="dxa" w:w="80"/>
            </w:tcMar>
          </w:tcPr>
          <w:p>
            <w:pPr>
              <w:spacing w:after="0" w:line="240"/>
            </w:pPr>
            <w:r>
              <w:rPr>
                <w:b w:val="false"/>
                <w:bCs w:val="false"/>
                <w:sz w:val="18"/>
                <w:szCs w:val="18"/>
              </w:rPr>
              <w:t xml:space="preserve">313</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Electronic result delivery with duplex</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494.62k</w:t>
            </w:r>
          </w:p>
        </w:tc>
        <w:tc>
          <w:tcPr>
            <w:tcW w:type="dxa" w:w="3009"/>
            <w:tcMar>
              <w:top w:type="dxa" w:w="60"/>
              <w:left w:type="dxa" w:w="80"/>
              <w:bottom w:type="dxa" w:w="60"/>
              <w:right w:type="dxa" w:w="80"/>
            </w:tcMar>
          </w:tcPr>
          <w:p>
            <w:pPr>
              <w:spacing w:after="0" w:line="240"/>
            </w:pPr>
            <w:r>
              <w:rPr>
                <w:b w:val="false"/>
                <w:bCs w:val="false"/>
                <w:sz w:val="18"/>
                <w:szCs w:val="18"/>
              </w:rPr>
              <w:t xml:space="preserve">19.17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110.28k</w:t>
            </w:r>
          </w:p>
        </w:tc>
        <w:tc>
          <w:tcPr>
            <w:tcW w:type="dxa" w:w="3009"/>
            <w:tcMar>
              <w:top w:type="dxa" w:w="60"/>
              <w:left w:type="dxa" w:w="80"/>
              <w:bottom w:type="dxa" w:w="60"/>
              <w:right w:type="dxa" w:w="80"/>
            </w:tcMar>
          </w:tcPr>
          <w:p>
            <w:pPr>
              <w:spacing w:after="0" w:line="240"/>
            </w:pPr>
            <w:r>
              <w:rPr>
                <w:b w:val="false"/>
                <w:bCs w:val="false"/>
                <w:sz w:val="18"/>
                <w:szCs w:val="18"/>
              </w:rPr>
              <w:t xml:space="preserve">4.27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744.90k</w:t>
            </w:r>
          </w:p>
        </w:tc>
        <w:tc>
          <w:tcPr>
            <w:tcW w:type="dxa" w:w="3009"/>
            <w:tcMar>
              <w:top w:type="dxa" w:w="60"/>
              <w:left w:type="dxa" w:w="80"/>
              <w:bottom w:type="dxa" w:w="60"/>
              <w:right w:type="dxa" w:w="80"/>
            </w:tcMar>
          </w:tcPr>
          <w:p>
            <w:pPr>
              <w:spacing w:after="0" w:line="240"/>
            </w:pPr>
            <w:r>
              <w:rPr>
                <w:b w:val="false"/>
                <w:bCs w:val="false"/>
                <w:sz w:val="18"/>
                <w:szCs w:val="18"/>
              </w:rPr>
              <w:t xml:space="preserve">28.86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946.03k</w:t>
            </w:r>
          </w:p>
        </w:tc>
        <w:tc>
          <w:tcPr>
            <w:tcW w:type="dxa" w:w="3009"/>
            <w:tcMar>
              <w:top w:type="dxa" w:w="60"/>
              <w:left w:type="dxa" w:w="80"/>
              <w:bottom w:type="dxa" w:w="60"/>
              <w:right w:type="dxa" w:w="80"/>
            </w:tcMar>
          </w:tcPr>
          <w:p>
            <w:pPr>
              <w:spacing w:after="0" w:line="240"/>
            </w:pPr>
            <w:r>
              <w:rPr>
                <w:b w:val="false"/>
                <w:bCs w:val="false"/>
                <w:sz w:val="18"/>
                <w:szCs w:val="18"/>
              </w:rPr>
              <w:t xml:space="preserve">36.66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6.36 M</w:t>
            </w:r>
          </w:p>
        </w:tc>
        <w:tc>
          <w:tcPr>
            <w:tcW w:type="dxa" w:w="3009"/>
            <w:tcMar>
              <w:top w:type="dxa" w:w="60"/>
              <w:left w:type="dxa" w:w="80"/>
              <w:bottom w:type="dxa" w:w="60"/>
              <w:right w:type="dxa" w:w="80"/>
            </w:tcMar>
          </w:tcPr>
          <w:p>
            <w:pPr>
              <w:spacing w:after="0" w:line="240"/>
            </w:pPr>
            <w:r>
              <w:rPr>
                <w:b w:val="false"/>
                <w:bCs w:val="false"/>
                <w:sz w:val="18"/>
                <w:szCs w:val="18"/>
              </w:rPr>
              <w:t xml:space="preserve">246.45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372</w:t>
            </w:r>
          </w:p>
        </w:tc>
        <w:tc>
          <w:tcPr>
            <w:tcW w:type="dxa" w:w="3009"/>
            <w:tcMar>
              <w:top w:type="dxa" w:w="60"/>
              <w:left w:type="dxa" w:w="80"/>
              <w:bottom w:type="dxa" w:w="60"/>
              <w:right w:type="dxa" w:w="80"/>
            </w:tcMar>
          </w:tcPr>
          <w:p>
            <w:pPr>
              <w:spacing w:after="0" w:line="240"/>
            </w:pPr>
            <w:r>
              <w:rPr>
                <w:b w:val="false"/>
                <w:bCs w:val="false"/>
                <w:sz w:val="18"/>
                <w:szCs w:val="18"/>
              </w:rPr>
              <w:t xml:space="preserve">372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56.78 M</w:t>
            </w:r>
          </w:p>
        </w:tc>
        <w:tc>
          <w:tcPr>
            <w:tcW w:type="dxa" w:w="3009"/>
            <w:tcMar>
              <w:top w:type="dxa" w:w="60"/>
              <w:left w:type="dxa" w:w="80"/>
              <w:bottom w:type="dxa" w:w="60"/>
              <w:right w:type="dxa" w:w="80"/>
            </w:tcMar>
          </w:tcPr>
          <w:p>
            <w:pPr>
              <w:spacing w:after="0" w:line="240"/>
            </w:pPr>
            <w:r>
              <w:rPr>
                <w:b w:val="false"/>
                <w:bCs w:val="false"/>
                <w:sz w:val="18"/>
                <w:szCs w:val="18"/>
              </w:rPr>
              <w:t xml:space="preserve">2.20 bn</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28,392</w:t>
            </w:r>
          </w:p>
        </w:tc>
        <w:tc>
          <w:tcPr>
            <w:tcW w:type="dxa" w:w="3009"/>
            <w:tcMar>
              <w:top w:type="dxa" w:w="60"/>
              <w:left w:type="dxa" w:w="80"/>
              <w:bottom w:type="dxa" w:w="60"/>
              <w:right w:type="dxa" w:w="80"/>
            </w:tcMar>
          </w:tcPr>
          <w:p>
            <w:pPr>
              <w:spacing w:after="0" w:line="240"/>
            </w:pPr>
            <w:r>
              <w:rPr>
                <w:b w:val="false"/>
                <w:bCs w:val="false"/>
                <w:sz w:val="18"/>
                <w:szCs w:val="18"/>
              </w:rPr>
              <w:t xml:space="preserve">28,392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36 m²</w:t>
            </w:r>
          </w:p>
        </w:tc>
        <w:tc>
          <w:tcPr>
            <w:tcW w:type="dxa" w:w="3009"/>
            <w:tcMar>
              <w:top w:type="dxa" w:w="60"/>
              <w:left w:type="dxa" w:w="80"/>
              <w:bottom w:type="dxa" w:w="60"/>
              <w:right w:type="dxa" w:w="80"/>
            </w:tcMar>
          </w:tcPr>
          <w:p>
            <w:pPr>
              <w:spacing w:after="0" w:line="240"/>
            </w:pPr>
            <w:r>
              <w:rPr>
                <w:b w:val="false"/>
                <w:bCs w:val="false"/>
                <w:sz w:val="18"/>
                <w:szCs w:val="18"/>
              </w:rPr>
              <w:t xml:space="preserve">1,410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2</w:t>
            </w:r>
          </w:p>
        </w:tc>
        <w:tc>
          <w:tcPr>
            <w:tcW w:type="dxa" w:w="3009"/>
            <w:tcMar>
              <w:top w:type="dxa" w:w="60"/>
              <w:left w:type="dxa" w:w="80"/>
              <w:bottom w:type="dxa" w:w="60"/>
              <w:right w:type="dxa" w:w="80"/>
            </w:tcMar>
          </w:tcPr>
          <w:p>
            <w:pPr>
              <w:spacing w:after="0" w:line="240"/>
            </w:pPr>
            <w:r>
              <w:rPr>
                <w:b w:val="false"/>
                <w:bCs w:val="false"/>
                <w:sz w:val="18"/>
                <w:szCs w:val="18"/>
              </w:rPr>
              <w:t xml:space="preserve">78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35,300</w:t>
            </w:r>
          </w:p>
        </w:tc>
        <w:tc>
          <w:tcPr>
            <w:tcW w:type="dxa" w:w="3009"/>
            <w:tcMar>
              <w:top w:type="dxa" w:w="60"/>
              <w:left w:type="dxa" w:w="80"/>
              <w:bottom w:type="dxa" w:w="60"/>
              <w:right w:type="dxa" w:w="80"/>
            </w:tcMar>
          </w:tcPr>
          <w:p>
            <w:pPr>
              <w:spacing w:after="0" w:line="240"/>
            </w:pPr>
            <w:r>
              <w:rPr>
                <w:b w:val="false"/>
                <w:bCs w:val="false"/>
                <w:sz w:val="18"/>
                <w:szCs w:val="18"/>
              </w:rPr>
              <w:t xml:space="preserve">1,367,875</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294</w:t>
            </w:r>
          </w:p>
        </w:tc>
        <w:tc>
          <w:tcPr>
            <w:tcW w:type="dxa" w:w="3009"/>
            <w:tcMar>
              <w:top w:type="dxa" w:w="60"/>
              <w:left w:type="dxa" w:w="80"/>
              <w:bottom w:type="dxa" w:w="60"/>
              <w:right w:type="dxa" w:w="80"/>
            </w:tcMar>
          </w:tcPr>
          <w:p>
            <w:pPr>
              <w:spacing w:after="0" w:line="240"/>
            </w:pPr>
            <w:r>
              <w:rPr>
                <w:b w:val="false"/>
                <w:bCs w:val="false"/>
                <w:sz w:val="18"/>
                <w:szCs w:val="18"/>
              </w:rPr>
              <w:t xml:space="preserve">11,399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0.17 (0.11–0.34)</w:t>
            </w:r>
          </w:p>
        </w:tc>
        <w:tc>
          <w:tcPr>
            <w:tcW w:type="dxa" w:w="3009"/>
            <w:tcMar>
              <w:top w:type="dxa" w:w="60"/>
              <w:left w:type="dxa" w:w="80"/>
              <w:bottom w:type="dxa" w:w="60"/>
              <w:right w:type="dxa" w:w="80"/>
            </w:tcMar>
          </w:tcPr>
          <w:p>
            <w:pPr>
              <w:spacing w:after="0" w:line="240"/>
            </w:pPr>
            <w:r>
              <w:rPr>
                <w:b w:val="false"/>
                <w:bCs w:val="false"/>
                <w:sz w:val="18"/>
                <w:szCs w:val="18"/>
              </w:rPr>
              <w:t xml:space="preserve">6.6 (4.4–13.3)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8.8</w:t>
            </w:r>
          </w:p>
        </w:tc>
        <w:tc>
          <w:tcPr>
            <w:tcW w:type="dxa" w:w="3009"/>
            <w:tcMar>
              <w:top w:type="dxa" w:w="60"/>
              <w:left w:type="dxa" w:w="80"/>
              <w:bottom w:type="dxa" w:w="60"/>
              <w:right w:type="dxa" w:w="80"/>
            </w:tcMar>
          </w:tcPr>
          <w:p>
            <w:pPr>
              <w:spacing w:after="0" w:line="240"/>
            </w:pPr>
            <w:r>
              <w:rPr>
                <w:b w:val="false"/>
                <w:bCs w:val="false"/>
                <w:sz w:val="18"/>
                <w:szCs w:val="18"/>
              </w:rPr>
              <w:t xml:space="preserve">8.8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t CO2e per year</w:t>
            </w:r>
          </w:p>
        </w:tc>
        <w:tc>
          <w:tcPr>
            <w:tcW w:type="dxa" w:w="3009"/>
            <w:tcMar>
              <w:top w:type="dxa" w:w="60"/>
              <w:left w:type="dxa" w:w="80"/>
              <w:bottom w:type="dxa" w:w="60"/>
              <w:right w:type="dxa" w:w="80"/>
            </w:tcMar>
          </w:tcPr>
          <w:p>
            <w:pPr>
              <w:spacing w:after="0" w:line="240"/>
            </w:pPr>
            <w:r>
              <w:rPr>
                <w:b w:val="false"/>
                <w:bCs w:val="false"/>
                <w:sz w:val="18"/>
                <w:szCs w:val="18"/>
              </w:rPr>
              <w:t xml:space="preserve">0.26 (0.16–0.53)</w:t>
            </w:r>
          </w:p>
        </w:tc>
        <w:tc>
          <w:tcPr>
            <w:tcW w:type="dxa" w:w="3009"/>
            <w:tcMar>
              <w:top w:type="dxa" w:w="60"/>
              <w:left w:type="dxa" w:w="80"/>
              <w:bottom w:type="dxa" w:w="60"/>
              <w:right w:type="dxa" w:w="80"/>
            </w:tcMar>
          </w:tcPr>
          <w:p>
            <w:pPr>
              <w:spacing w:after="0" w:line="240"/>
            </w:pPr>
            <w:r>
              <w:rPr>
                <w:b w:val="false"/>
                <w:bCs w:val="false"/>
                <w:sz w:val="18"/>
                <w:szCs w:val="18"/>
              </w:rPr>
              <w:t xml:space="preserve">9.9 (6.4–20.7)</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kg CO2e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0.13</w:t>
            </w:r>
          </w:p>
        </w:tc>
        <w:tc>
          <w:tcPr>
            <w:tcW w:type="dxa" w:w="3009"/>
            <w:tcMar>
              <w:top w:type="dxa" w:w="60"/>
              <w:left w:type="dxa" w:w="80"/>
              <w:bottom w:type="dxa" w:w="60"/>
              <w:right w:type="dxa" w:w="80"/>
            </w:tcMar>
          </w:tcPr>
          <w:p>
            <w:pPr>
              <w:spacing w:after="0" w:line="240"/>
            </w:pPr>
            <w:r>
              <w:rPr>
                <w:b w:val="false"/>
                <w:bCs w:val="false"/>
                <w:sz w:val="18"/>
                <w:szCs w:val="18"/>
              </w:rPr>
              <w:t xml:space="preserve">0.13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m³ per year</w:t>
            </w:r>
          </w:p>
        </w:tc>
        <w:tc>
          <w:tcPr>
            <w:tcW w:type="dxa" w:w="3009"/>
            <w:tcMar>
              <w:top w:type="dxa" w:w="60"/>
              <w:left w:type="dxa" w:w="80"/>
              <w:bottom w:type="dxa" w:w="60"/>
              <w:right w:type="dxa" w:w="80"/>
            </w:tcMar>
          </w:tcPr>
          <w:p>
            <w:pPr>
              <w:spacing w:after="0" w:line="240"/>
            </w:pPr>
            <w:r>
              <w:rPr>
                <w:b w:val="false"/>
                <w:bCs w:val="false"/>
                <w:sz w:val="18"/>
                <w:szCs w:val="18"/>
              </w:rPr>
              <w:t xml:space="preserve">392 (81–703)</w:t>
            </w:r>
          </w:p>
        </w:tc>
        <w:tc>
          <w:tcPr>
            <w:tcW w:type="dxa" w:w="3009"/>
            <w:tcMar>
              <w:top w:type="dxa" w:w="60"/>
              <w:left w:type="dxa" w:w="80"/>
              <w:bottom w:type="dxa" w:w="60"/>
              <w:right w:type="dxa" w:w="80"/>
            </w:tcMar>
          </w:tcPr>
          <w:p>
            <w:pPr>
              <w:spacing w:after="0" w:line="240"/>
            </w:pPr>
            <w:r>
              <w:rPr>
                <w:b w:val="false"/>
                <w:bCs w:val="false"/>
                <w:sz w:val="18"/>
                <w:szCs w:val="18"/>
              </w:rPr>
              <w:t xml:space="preserve">15,184 (3,142–27,226)</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litres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196</w:t>
            </w:r>
          </w:p>
        </w:tc>
        <w:tc>
          <w:tcPr>
            <w:tcW w:type="dxa" w:w="3009"/>
            <w:tcMar>
              <w:top w:type="dxa" w:w="60"/>
              <w:left w:type="dxa" w:w="80"/>
              <w:bottom w:type="dxa" w:w="60"/>
              <w:right w:type="dxa" w:w="80"/>
            </w:tcMar>
          </w:tcPr>
          <w:p>
            <w:pPr>
              <w:spacing w:after="0" w:line="240"/>
            </w:pPr>
            <w:r>
              <w:rPr>
                <w:b w:val="false"/>
                <w:bCs w:val="false"/>
                <w:sz w:val="18"/>
                <w:szCs w:val="18"/>
              </w:rPr>
              <w:t xml:space="preserve">196</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Paperless pathway</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177.80k</w:t>
            </w:r>
          </w:p>
        </w:tc>
        <w:tc>
          <w:tcPr>
            <w:tcW w:type="dxa" w:w="3009"/>
            <w:tcMar>
              <w:top w:type="dxa" w:w="60"/>
              <w:left w:type="dxa" w:w="80"/>
              <w:bottom w:type="dxa" w:w="60"/>
              <w:right w:type="dxa" w:w="80"/>
            </w:tcMar>
          </w:tcPr>
          <w:p>
            <w:pPr>
              <w:spacing w:after="0" w:line="240"/>
            </w:pPr>
            <w:r>
              <w:rPr>
                <w:b w:val="false"/>
                <w:bCs w:val="false"/>
                <w:sz w:val="18"/>
                <w:szCs w:val="18"/>
              </w:rPr>
              <w:t xml:space="preserve">6.89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1.20 M</w:t>
            </w:r>
          </w:p>
        </w:tc>
        <w:tc>
          <w:tcPr>
            <w:tcW w:type="dxa" w:w="3009"/>
            <w:tcMar>
              <w:top w:type="dxa" w:w="60"/>
              <w:left w:type="dxa" w:w="80"/>
              <w:bottom w:type="dxa" w:w="60"/>
              <w:right w:type="dxa" w:w="80"/>
            </w:tcMar>
          </w:tcPr>
          <w:p>
            <w:pPr>
              <w:spacing w:after="0" w:line="240"/>
            </w:pPr>
            <w:r>
              <w:rPr>
                <w:b w:val="false"/>
                <w:bCs w:val="false"/>
                <w:sz w:val="18"/>
                <w:szCs w:val="18"/>
              </w:rPr>
              <w:t xml:space="preserve">46.32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70</w:t>
            </w:r>
          </w:p>
        </w:tc>
        <w:tc>
          <w:tcPr>
            <w:tcW w:type="dxa" w:w="3009"/>
            <w:tcMar>
              <w:top w:type="dxa" w:w="60"/>
              <w:left w:type="dxa" w:w="80"/>
              <w:bottom w:type="dxa" w:w="60"/>
              <w:right w:type="dxa" w:w="80"/>
            </w:tcMar>
          </w:tcPr>
          <w:p>
            <w:pPr>
              <w:spacing w:after="0" w:line="240"/>
            </w:pPr>
            <w:r>
              <w:rPr>
                <w:b w:val="false"/>
                <w:bCs w:val="false"/>
                <w:sz w:val="18"/>
                <w:szCs w:val="18"/>
              </w:rPr>
              <w:t xml:space="preserve">70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13.61 M</w:t>
            </w:r>
          </w:p>
        </w:tc>
        <w:tc>
          <w:tcPr>
            <w:tcW w:type="dxa" w:w="3009"/>
            <w:tcMar>
              <w:top w:type="dxa" w:w="60"/>
              <w:left w:type="dxa" w:w="80"/>
              <w:bottom w:type="dxa" w:w="60"/>
              <w:right w:type="dxa" w:w="80"/>
            </w:tcMar>
          </w:tcPr>
          <w:p>
            <w:pPr>
              <w:spacing w:after="0" w:line="240"/>
            </w:pPr>
            <w:r>
              <w:rPr>
                <w:b w:val="false"/>
                <w:bCs w:val="false"/>
                <w:sz w:val="18"/>
                <w:szCs w:val="18"/>
              </w:rPr>
              <w:t xml:space="preserve">527.56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6,807</w:t>
            </w:r>
          </w:p>
        </w:tc>
        <w:tc>
          <w:tcPr>
            <w:tcW w:type="dxa" w:w="3009"/>
            <w:tcMar>
              <w:top w:type="dxa" w:w="60"/>
              <w:left w:type="dxa" w:w="80"/>
              <w:bottom w:type="dxa" w:w="60"/>
              <w:right w:type="dxa" w:w="80"/>
            </w:tcMar>
          </w:tcPr>
          <w:p>
            <w:pPr>
              <w:spacing w:after="0" w:line="240"/>
            </w:pPr>
            <w:r>
              <w:rPr>
                <w:b w:val="false"/>
                <w:bCs w:val="false"/>
                <w:sz w:val="18"/>
                <w:szCs w:val="18"/>
              </w:rPr>
              <w:t xml:space="preserve">6,807</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9 m²</w:t>
            </w:r>
          </w:p>
        </w:tc>
        <w:tc>
          <w:tcPr>
            <w:tcW w:type="dxa" w:w="3009"/>
            <w:tcMar>
              <w:top w:type="dxa" w:w="60"/>
              <w:left w:type="dxa" w:w="80"/>
              <w:bottom w:type="dxa" w:w="60"/>
              <w:right w:type="dxa" w:w="80"/>
            </w:tcMar>
          </w:tcPr>
          <w:p>
            <w:pPr>
              <w:spacing w:after="0" w:line="240"/>
            </w:pPr>
            <w:r>
              <w:rPr>
                <w:b w:val="false"/>
                <w:bCs w:val="false"/>
                <w:sz w:val="18"/>
                <w:szCs w:val="18"/>
              </w:rPr>
              <w:t xml:space="preserve">338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19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0.00 (0.00–0.00)</w:t>
            </w:r>
          </w:p>
        </w:tc>
        <w:tc>
          <w:tcPr>
            <w:tcW w:type="dxa" w:w="3009"/>
            <w:tcMar>
              <w:top w:type="dxa" w:w="60"/>
              <w:left w:type="dxa" w:w="80"/>
              <w:bottom w:type="dxa" w:w="60"/>
              <w:right w:type="dxa" w:w="80"/>
            </w:tcMar>
          </w:tcPr>
          <w:p>
            <w:pPr>
              <w:spacing w:after="0" w:line="240"/>
            </w:pPr>
            <w:r>
              <w:rPr>
                <w:b w:val="false"/>
                <w:bCs w:val="false"/>
                <w:sz w:val="18"/>
                <w:szCs w:val="18"/>
              </w:rPr>
              <w:t xml:space="preserve">0.0 (0.0–0.0)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0.0</w:t>
            </w:r>
          </w:p>
        </w:tc>
        <w:tc>
          <w:tcPr>
            <w:tcW w:type="dxa" w:w="3009"/>
            <w:tcMar>
              <w:top w:type="dxa" w:w="60"/>
              <w:left w:type="dxa" w:w="80"/>
              <w:bottom w:type="dxa" w:w="60"/>
              <w:right w:type="dxa" w:w="80"/>
            </w:tcMar>
          </w:tcPr>
          <w:p>
            <w:pPr>
              <w:spacing w:after="0" w:line="240"/>
            </w:pPr>
            <w:r>
              <w:rPr>
                <w:b w:val="false"/>
                <w:bCs w:val="false"/>
                <w:sz w:val="18"/>
                <w:szCs w:val="18"/>
              </w:rPr>
              <w:t xml:space="preserve">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t CO2e per year</w:t>
            </w:r>
          </w:p>
        </w:tc>
        <w:tc>
          <w:tcPr>
            <w:tcW w:type="dxa" w:w="3009"/>
            <w:tcMar>
              <w:top w:type="dxa" w:w="60"/>
              <w:left w:type="dxa" w:w="80"/>
              <w:bottom w:type="dxa" w:w="60"/>
              <w:right w:type="dxa" w:w="80"/>
            </w:tcMar>
          </w:tcPr>
          <w:p>
            <w:pPr>
              <w:spacing w:after="0" w:line="240"/>
            </w:pPr>
            <w:r>
              <w:rPr>
                <w:b w:val="false"/>
                <w:bCs w:val="false"/>
                <w:sz w:val="18"/>
                <w:szCs w:val="18"/>
              </w:rPr>
              <w:t xml:space="preserve">0.08 (0.05–0.16)</w:t>
            </w:r>
          </w:p>
        </w:tc>
        <w:tc>
          <w:tcPr>
            <w:tcW w:type="dxa" w:w="3009"/>
            <w:tcMar>
              <w:top w:type="dxa" w:w="60"/>
              <w:left w:type="dxa" w:w="80"/>
              <w:bottom w:type="dxa" w:w="60"/>
              <w:right w:type="dxa" w:w="80"/>
            </w:tcMar>
          </w:tcPr>
          <w:p>
            <w:pPr>
              <w:spacing w:after="0" w:line="240"/>
            </w:pPr>
            <w:r>
              <w:rPr>
                <w:b w:val="false"/>
                <w:bCs w:val="false"/>
                <w:sz w:val="18"/>
                <w:szCs w:val="18"/>
              </w:rPr>
              <w:t xml:space="preserve">2.9 (1.9–6.1)</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kg CO2e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0.04</w:t>
            </w:r>
          </w:p>
        </w:tc>
        <w:tc>
          <w:tcPr>
            <w:tcW w:type="dxa" w:w="3009"/>
            <w:tcMar>
              <w:top w:type="dxa" w:w="60"/>
              <w:left w:type="dxa" w:w="80"/>
              <w:bottom w:type="dxa" w:w="60"/>
              <w:right w:type="dxa" w:w="80"/>
            </w:tcMar>
          </w:tcPr>
          <w:p>
            <w:pPr>
              <w:spacing w:after="0" w:line="240"/>
            </w:pPr>
            <w:r>
              <w:rPr>
                <w:b w:val="false"/>
                <w:bCs w:val="false"/>
                <w:sz w:val="18"/>
                <w:szCs w:val="18"/>
              </w:rPr>
              <w:t xml:space="preserve">0.04</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m³ per year</w:t>
            </w:r>
          </w:p>
        </w:tc>
        <w:tc>
          <w:tcPr>
            <w:tcW w:type="dxa" w:w="3009"/>
            <w:tcMar>
              <w:top w:type="dxa" w:w="60"/>
              <w:left w:type="dxa" w:w="80"/>
              <w:bottom w:type="dxa" w:w="60"/>
              <w:right w:type="dxa" w:w="80"/>
            </w:tcMar>
          </w:tcPr>
          <w:p>
            <w:pPr>
              <w:spacing w:after="0" w:line="240"/>
            </w:pPr>
            <w:r>
              <w:rPr>
                <w:b w:val="false"/>
                <w:bCs w:val="false"/>
                <w:sz w:val="18"/>
                <w:szCs w:val="18"/>
              </w:rPr>
              <w:t xml:space="preserve">116 (24–208)</w:t>
            </w:r>
          </w:p>
        </w:tc>
        <w:tc>
          <w:tcPr>
            <w:tcW w:type="dxa" w:w="3009"/>
            <w:tcMar>
              <w:top w:type="dxa" w:w="60"/>
              <w:left w:type="dxa" w:w="80"/>
              <w:bottom w:type="dxa" w:w="60"/>
              <w:right w:type="dxa" w:w="80"/>
            </w:tcMar>
          </w:tcPr>
          <w:p>
            <w:pPr>
              <w:spacing w:after="0" w:line="240"/>
            </w:pPr>
            <w:r>
              <w:rPr>
                <w:b w:val="false"/>
                <w:bCs w:val="false"/>
                <w:sz w:val="18"/>
                <w:szCs w:val="18"/>
              </w:rPr>
              <w:t xml:space="preserve">4,486 (928–8,043)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litres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58</w:t>
            </w:r>
          </w:p>
        </w:tc>
        <w:tc>
          <w:tcPr>
            <w:tcW w:type="dxa" w:w="3009"/>
            <w:tcMar>
              <w:top w:type="dxa" w:w="60"/>
              <w:left w:type="dxa" w:w="80"/>
              <w:bottom w:type="dxa" w:w="60"/>
              <w:right w:type="dxa" w:w="80"/>
            </w:tcMar>
          </w:tcPr>
          <w:p>
            <w:pPr>
              <w:spacing w:after="0" w:line="240"/>
            </w:pPr>
            <w:r>
              <w:rPr>
                <w:b w:val="false"/>
                <w:bCs w:val="false"/>
                <w:sz w:val="18"/>
                <w:szCs w:val="18"/>
              </w:rPr>
              <w:t xml:space="preserve">58</w:t>
            </w:r>
          </w:p>
        </w:tc>
      </w:tr>
    </w:tbl>
    <w:p>
      <w:pPr>
        <w:spacing w:after="200"/>
      </w:pPr>
    </w:p>
    <w:p>
      <w:pPr>
        <w:spacing w:after="160" w:line="320"/>
      </w:pPr>
      <w:r>
        <w:t xml:space="preserve">All figures 2024 HUF. Printing 7 HUF per printed page (a double-sided sheet costs 14 HUF); paper 2.89 HUF per sheet; antenatal booklet purchased at its unit price and carrying neither printing nor paper charge. Clinician and administrative handling time is quantified but not costed, so all monetary totals are floors.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2026-09-06T16:39:24.199Z</dcterms:created>
  <dcterms:modified xsi:type="dcterms:W3CDTF">2026-09-06T16:39:24.199Z</dcterms:modified>
</cp:coreProperties>
</file>

<file path=docProps/custom.xml><?xml version="1.0" encoding="utf-8"?>
<Properties xmlns="http://schemas.openxmlformats.org/officeDocument/2006/custom-properties" xmlns:vt="http://schemas.openxmlformats.org/officeDocument/2006/docPropsVTypes"/>
</file>