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358; main text 5,407 excluding abstract, tables, statements, references and figure legends.</w:t>
      </w:r>
    </w:p>
    <w:p>
      <w:pPr>
        <w:spacing w:after="160" w:line="320"/>
      </w:pPr>
      <w:r>
        <w:rPr>
          <w:b/>
          <w:bCs/>
        </w:rPr>
        <w:t xml:space="preserve">Tables</w:t>
      </w:r>
      <w:r>
        <w:t xml:space="preserve"> 3 in-text, 1 supplementary. </w:t>
      </w:r>
      <w:r>
        <w:rPr>
          <w:b/>
          <w:bCs/>
        </w:rPr>
        <w:t xml:space="preserve">Figures</w:t>
      </w:r>
      <w:r>
        <w:t xml:space="preserve"> 4, supplied as separate files. </w:t>
      </w:r>
      <w:r>
        <w:rPr>
          <w:b/>
          <w:bCs/>
        </w:rPr>
        <w:t xml:space="preserve">References</w:t>
      </w:r>
      <w:r>
        <w:t xml:space="preserve"> 13.</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and paper manufacture accounted for 45.7 tonnes CO2e per year nationally. Printing and filing took an estimated 22.8 minutes per episode: 17.1 FTE nationally (11.4 to 34.3).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adds 45.7 tonnes CO2e per year.</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(EESZT) is among the more complete of them: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surprisingly often and measured surprisingly rarely. Costing arguments in this area typically begin from an assumed number of pages per patient, and the assumption is rarely traced to a count. This matters because the two candidate answers differ by an order of magnitude in their policy implications: if a care episode generates a few dozen pages, paper is a rounding error and digitisation must be justified on clinical grounds alone; if it generates well over a hundred, and if those pages are then held under statutory retention for thirty to fifty years, the accumulated physical footprint becomes a capital question rather than a stationery question.</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actually produces, what proportion of them are duplicates of data that already exist electronically, and what happens to them across a retention period longer than most clinicians' careers. Guidance on how to cost such resource use exists and is explicit that bottom-up micro-costing is the appropriate method where the resource is countable and the unit price is known [4,5]; it has simply not been applied here.</w:t>
      </w:r>
    </w:p>
    <w:p>
      <w:pPr>
        <w:spacing w:after="160" w:line="320"/>
      </w:pPr>
      <w:r>
        <w:t xml:space="preserve">We therefore set out to answer three questions. How many printed pages does one obstetric care episode actually generate? What is the composition of that output — how much of it is clinical record and how much is a printed copy of an electronic result? And what does the resulting volume cost, once the statutory retention period is priced not as an abstraction but as square metres of building?</w:t>
      </w:r>
    </w:p>
    <w:p>
      <w:pPr>
        <w:pBdr>
          <w:bottom w:val="single" w:color="CCCCCC" w:sz="6"/>
        </w:pBdr>
        <w:spacing w:after="200" w:before="200"/>
      </w:pP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conducted in ⟦setting: institution, unit, country⟧. Reporting follows STROBE for the observational component and the costing-method taxonomy of Špacírová et al. [4] for the economic component. The unit of analysis is the </w:t>
      </w:r>
      <w:r>
        <w:rPr>
          <w:i/>
          <w:iCs/>
        </w:rPr>
        <w:t xml:space="preserve">care episode</w:t>
      </w:r>
      <w:r>
        <w:t xml:space="preserve">: one pregnancy followed to delivery, together with all paper documents generated for it in the antenatal and delivery pathway.</w:t>
      </w:r>
    </w:p>
    <w:p>
      <w:pPr>
        <w:spacing w:after="160" w:line="320"/>
      </w:pPr>
      <w:r>
        <w:t xml:space="preserve">⟦</w:t>
      </w:r>
      <w:r>
        <w:rPr>
          <w:b/>
          <w:bCs/>
        </w:rPr>
        <w:t xml:space="preserve">Author to specify:</w:t>
      </w:r>
      <w:r>
        <w:t xml:space="preserve"> the sampling frame and period — whether the 100 episodes were consecutive, and over what calendar interval; and any exclusions (multiple pregnancy, transfer of care, pregnancy loss). This is the single most important remaining gap in the Methods and reviewers will ask for it.⟧</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referrals and reports, blood-group referrals and reports, microbiology referrals and reports, ultrasound reports, the antenatal care booklet, ward documentation and delivery documentation. Counts were recorded per episode in a single spreadsheet; a per-episode total was computed independently of the workbook's own sum column and the two agreed for all 100 episodes with zero discrepancies.</w:t>
      </w:r>
    </w:p>
    <w:p>
      <w:pPr>
        <w:spacing w:after="160" w:line="320"/>
      </w:pPr>
      <w:r>
        <w:t xml:space="preserve">Two features of the source data constrain interpretation and are stated here rather than in the limitations alone. First, report pages for the three diagnostic families were </w:t>
      </w:r>
      <w:r>
        <w:rPr>
          <w:b/>
          <w:bCs/>
        </w:rPr>
        <w:t xml:space="preserve">derived</w:t>
      </w:r>
      <w:r>
        <w:t xml:space="preserve"> from referral counts using the institution's fixed convention of four printed report pages per referral, not counted independently; the observed ratio was exactly 4.00 in every one of the 100 episodes, in all three families. Report page counts are therefore deterministic functions of referral counts, and their dispersion is inherited rather than observed. Second, the antenatal care booklet is recorded as a single unit per episode. It is a bound, pre-printed, double-sided booklet of 15 printed pages, so one recorded unit was expanded to 15 pages occupying 8 sheets. Because it is manufactured double-sided, it is treated as duplex in every scenario, including the single-sided base case —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stated constants: A4 area 0.06237 m² and grammage 80 g/m², giving 4.99 g per sheet; 10,000 filed sheets per linear metre of shelving (allowing for folders and covers); and 5.5 linear metres of shelving per m² of archive floor, inclusive of an aisle allowance. The latter two are conventions rather than measurements and are carried through sensitivity analysis at 8,000–12,000 sheets/linear metre and 4.0–7.0 linear metres/m².</w:t>
      </w:r>
    </w:p>
    <w:p>
      <w:pPr>
        <w:pStyle w:val="Heading2"/>
        <w:spacing w:after="140" w:before="280"/>
      </w:pPr>
      <w:r>
        <w:rPr>
          <w:b/>
          <w:bCs/>
          <w:sz w:val="22"/>
          <w:szCs w:val="22"/>
        </w:rPr>
        <w:t xml:space="preserve">Costing</w:t>
      </w:r>
    </w:p>
    <w:p>
      <w:pPr>
        <w:spacing w:after="160" w:line="320"/>
      </w:pPr>
      <w:r>
        <w:t xml:space="preserve">Costs are reported in 2024 Hungarian forint (HUF), net of VAT, with gross figures given alongside at the 27% standard rate. Two unit prices enter the base case, both from official sources rather than estimation:</w:t>
      </w:r>
    </w:p>
    <w:p>
      <w:pPr>
        <w:pStyle w:val="ListParagraph"/>
        <w:numPr>
          <w:ilvl w:val="0"/>
          <w:numId w:val="1"/>
        </w:numPr>
        <w:spacing w:after="100" w:line="320"/>
      </w:pPr>
      <w:r>
        <w:rPr>
          <w:b/>
          <w:bCs/>
        </w:rPr>
        <w:t xml:space="preserve">Paper.</w:t>
      </w:r>
      <w:r>
        <w:t xml:space="preserve"> A4 80 g/m² copier paper under the framework agreements of the centralised public procurement system (KEF), at 1,430–1,460 HUF net per 500-sheet ream — 1,815–1,855 HUF gross — giving a base case of 1,445 HUF net per ream, or 2.89 HUF per sheet [10].</w:t>
      </w:r>
    </w:p>
    <w:p>
      <w:pPr>
        <w:pStyle w:val="ListParagraph"/>
        <w:numPr>
          <w:ilvl w:val="0"/>
          <w:numId w:val="1"/>
        </w:numPr>
        <w:spacing w:after="100" w:line="320"/>
      </w:pPr>
      <w:r>
        <w:rPr>
          <w:b/>
          <w:bCs/>
        </w:rPr>
        <w:t xml:space="preserve">Printing.</w:t>
      </w:r>
      <w:r>
        <w:t xml:space="preserve"> 7 HUF per printed page (toner, device amortisation and service), the prevailing Hungarian cost-per-page charge, so a double-sided sheet costs 14 HUF. Because the charge is levied per page rather than per sheet, </w:t>
      </w:r>
      <w:r>
        <w:rPr>
          <w:b/>
          <w:bCs/>
        </w:rPr>
        <w:t xml:space="preserve">duplex printing reduces paper but not toner</w:t>
      </w:r>
      <w:r>
        <w:t xml:space="preserve"> — an asymmetry that turns out to matter. Sensitivity range 5–10 HUF. We treat this as exclusive of paper, which is priced separately above; a single flag in the parameter file switches the model to an all-in interpretation if that is the local convention.</w:t>
      </w:r>
    </w:p>
    <w:p>
      <w:pPr>
        <w:pStyle w:val="ListParagraph"/>
        <w:numPr>
          <w:ilvl w:val="0"/>
          <w:numId w:val="1"/>
        </w:numPr>
        <w:spacing w:after="100" w:line="320"/>
      </w:pPr>
      <w:r>
        <w:rPr>
          <w:b/>
          <w:bCs/>
        </w:rPr>
        <w:t xml:space="preserve">Archive floor area.</w:t>
      </w:r>
      <w:r>
        <w:t xml:space="preserve"> 1,560,000 HUF/m², the tax authority (NAV) property valuation applicable to the archive site [11]. This is a capital value — the property the archive immobilises — not an annual rent, and is reported as such.</w:t>
      </w:r>
    </w:p>
    <w:p>
      <w:pPr>
        <w:pStyle w:val="ListParagraph"/>
        <w:numPr>
          <w:ilvl w:val="0"/>
          <w:numId w:val="1"/>
        </w:numPr>
        <w:spacing w:after="100" w:line="320"/>
      </w:pPr>
      <w:r>
        <w:rPr>
          <w:b/>
          <w:bCs/>
        </w:rPr>
        <w:t xml:space="preserve">Antenatal booklet.</w:t>
      </w:r>
      <w:r>
        <w:t xml:space="preserve"> 70 HUF per booklet. It is purchased as a finished item rather than printed, so it carries the purchase price instead of the printing and paper charges, in every scenario including the paperless one.</w:t>
      </w:r>
    </w:p>
    <w:p>
      <w:pPr>
        <w:spacing w:after="160" w:line="320"/>
      </w:pPr>
      <w:r>
        <w:t xml:space="preserve">Staff time spent handling paper is </w:t>
      </w:r>
      <w:r>
        <w:rPr>
          <w:b/>
          <w:bCs/>
        </w:rPr>
        <w:t xml:space="preserve">not</w:t>
      </w:r>
      <w:r>
        <w:t xml:space="preserve"> monetised, by design rather than for want of a figure; the Costing subsection sets out why, and it is reported in hours and FTE-equivalent instead. Its omission is one-directional — including it could only increase the estimated cost of current practice — so every monetary figure in this paper is a floor.</w:t>
      </w:r>
    </w:p>
    <w:p>
      <w:pPr>
        <w:spacing w:after="160" w:line="320"/>
      </w:pPr>
      <w:r>
        <w:t xml:space="preserve">The costing therefore distinguishes four quantities that must not be conflated: </w:t>
      </w:r>
      <w:r>
        <w:rPr>
          <w:b/>
          <w:bCs/>
        </w:rPr>
        <w:t xml:space="preserve">printed pages</w:t>
      </w:r>
      <w:r>
        <w:t xml:space="preserve">, which drive toner cost; </w:t>
      </w:r>
      <w:r>
        <w:rPr>
          <w:b/>
          <w:bCs/>
        </w:rPr>
        <w:t xml:space="preserve">physical sheets</w:t>
      </w:r>
      <w:r>
        <w:t xml:space="preserve">, which drive paper cost; </w:t>
      </w:r>
      <w:r>
        <w:rPr>
          <w:b/>
          <w:bCs/>
        </w:rPr>
        <w:t xml:space="preserve">archived sheets</w:t>
      </w:r>
      <w:r>
        <w:t xml:space="preserve">, which drive storage; and </w:t>
      </w:r>
      <w:r>
        <w:rPr>
          <w:b/>
          <w:bCs/>
        </w:rPr>
        <w:t xml:space="preserve">documents</w:t>
      </w:r>
      <w:r>
        <w:t xml:space="preserve">, which drive staff handling time. Duplex printing changes the second and third but neither the first nor the fourth.</w:t>
      </w:r>
    </w:p>
    <w:p>
      <w:pPr>
        <w:spacing w:after="160" w:line="320"/>
      </w:pPr>
      <w:r>
        <w:rPr>
          <w:b/>
          <w:bCs/>
        </w:rPr>
        <w:t xml:space="preserve">Handling time.</w:t>
      </w:r>
      <w:r>
        <w:t xml:space="preserve"> Each referral and each diagnostic report is one document a member of staff must print, collect, check and file, irrespective of how many pages it runs to. A referral is one document; a paired report is one document per referral; ultrasound reports are counted at one page per report. We applied 30 seconds per document — a deliberately conservative lower bound — with a sensitivity range of 20–60 seconds.</w:t>
      </w:r>
    </w:p>
    <w:p>
      <w:pPr>
        <w:spacing w:after="160" w:line="320"/>
      </w:pPr>
      <w:r>
        <w:t xml:space="preserve">We report this time in hours and full-time equivalents (1,720 h/FTE) and </w:t>
      </w:r>
      <w:r>
        <w:rPr>
          <w:b/>
          <w:bCs/>
        </w:rPr>
        <w:t xml:space="preserve">deliberately do not monetise it</w:t>
      </w:r>
      <w:r>
        <w:t xml:space="preserve">. Document handling in this setting is not a staffed post: it is absorbed into the existing duties of clinicians, midwives and administrators, a few seconds at a time. There is consequently no wage rate that would represent it honestly, and attaching one would imply a budget line that does not exist. The FTE figure should be read as </w:t>
      </w:r>
      <w:r>
        <w:rPr>
          <w:i/>
          <w:iCs/>
        </w:rPr>
        <w:t xml:space="preserve">displaced capacity</w:t>
      </w:r>
      <w:r>
        <w:t xml:space="preserve"> — the volume of existing staff time consumed — not as posts that could be cut. Ward and delivery documentation are excluded: they are written during care rather than printed on demand, so their production time is clinical documentation time, not handling time.</w:t>
      </w:r>
    </w:p>
    <w:p>
      <w:pPr>
        <w:spacing w:after="160" w:line="320"/>
      </w:pPr>
      <w:r>
        <w:rPr>
          <w:b/>
          <w:bCs/>
        </w:rPr>
        <w:t xml:space="preserve">Greenhouse-gas emissions.</w:t>
      </w:r>
      <w:r>
        <w:t xml:space="preserve"> Paper mass was converted to carbon dioxide equivalent using a cradle-to-gate factor of 950 kg CO2e per tonne, the production-weighted mean of a systematic review and meta-analysis of 45 paper-making life-cycle assessments [12]. Sensitivity used the full spread across paper grades in 252 mills, 608 to 1978 kg CO2e per tonne, and the narrower interquartile range for Kraft-based paper, 688 to 1004 [13]. The factor covers paper manufacture only: printing energy, transport, decades of archive conditioning and end-of-life destruction are all excluded, so the emissions reported here are a floor in the same direction as the monetary ones. We report emissions rather than a full life-cycle assessment, which was outside the scope of this study.</w:t>
      </w:r>
    </w:p>
    <w:p>
      <w:pPr>
        <w:spacing w:after="160" w:line="320"/>
      </w:pPr>
      <w:r>
        <w:rPr>
          <w:b/>
          <w:bCs/>
        </w:rPr>
        <w:t xml:space="preserve">Space as opportunity cost.</w:t>
      </w:r>
      <w:r>
        <w:t xml:space="preserve"> Archive floor area is not neutral space. It sits inside hospital buildings and is therefore withdrawn from clinical or productive use, so we also express it in clinical equivalents at 18 m² per antenatal consulting room and 35 m² per delivery room.</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the annual page volume multiplied by its retention period. This steady-state stock, not the annual flow, is what determines the floor area a health system must own.</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documents. </w:t>
      </w:r>
      <w:r>
        <w:rPr>
          <w:b/>
          <w:bCs/>
        </w:rPr>
        <w:t xml:space="preserve">S1, duplex printing</w:t>
      </w:r>
      <w:r>
        <w:t xml:space="preserve">: double-sided printing of all printed output, requiring no capital investment; the antenatal booklet is already double-sided and cannot be improved further. </w:t>
      </w:r>
      <w:r>
        <w:rPr>
          <w:b/>
          <w:bCs/>
        </w:rPr>
        <w:t xml:space="preserve">S2, electronic result delivery</w:t>
      </w:r>
      <w:r>
        <w:t xml:space="preserve">: diagnostic reports retrieved from the national exchange rather than printed, referrals still printed, duplex throughout. </w:t>
      </w:r>
      <w:r>
        <w:rPr>
          <w:b/>
          <w:bCs/>
        </w:rPr>
        <w:t xml:space="preserve">S3, paperless pathway</w:t>
      </w:r>
      <w:r>
        <w:t xml:space="preserve">: only the patient-held antenatal booklet remains on paper.</w:t>
      </w:r>
    </w:p>
    <w:p>
      <w:pPr>
        <w:spacing w:after="160" w:line="320"/>
      </w:pPr>
      <w:r>
        <w:t xml:space="preserve">Descriptive statistics are reported as mean (SD) with 95% confidence intervals from Student's </w:t>
      </w:r>
      <w:r>
        <w:rPr>
          <w:i/>
          <w:iCs/>
        </w:rPr>
        <w:t xml:space="preserve">t</w:t>
      </w:r>
      <w:r>
        <w:t xml:space="preserve">, and as median (IQR) and range. Confidence intervals for the mean were corroborated by a 10,000-replicate non-parametric bootstrap (seed fixed for reproducibility). Scenario results are deterministic functions of the observed mean and the stated parameters; uncertainty is expressed through one-way sensitivity analysis rather than probabilistic simulation, because the dominant parameters are conventions with defensible bounds rather than sampled quantities. A 10-year discounted paper spend is reported at both scales at the 3.7% rate specified by Hungarian health technology assessment guidance. All analyses were performed in Python 3; the analysis script and the parameter file that drives it are provided so that every reported number can be re-derived, and so that substituting a local unit price regenerates the whole model.</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173"/>
            <w:shd w:fill="F2F2F2" w:val="clear"/>
            <w:tcMar>
              <w:top w:type="dxa" w:w="60"/>
              <w:left w:type="dxa" w:w="80"/>
              <w:bottom w:type="dxa" w:w="60"/>
              <w:right w:type="dxa" w:w="80"/>
            </w:tcMar>
          </w:tcPr>
          <w:p>
            <w:pPr>
              <w:spacing w:after="0" w:line="240"/>
            </w:pPr>
            <w:r>
              <w:rPr>
                <w:b/>
                <w:bCs/>
                <w:sz w:val="18"/>
                <w:szCs w:val="18"/>
              </w:rPr>
              <w:t xml:space="preserve">Role</w:t>
            </w:r>
          </w:p>
        </w:tc>
        <w:tc>
          <w:tcPr>
            <w:tcW w:type="dxa" w:w="1173"/>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173"/>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173"/>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173"/>
            <w:shd w:fill="F2F2F2" w:val="clear"/>
            <w:tcMar>
              <w:top w:type="dxa" w:w="60"/>
              <w:left w:type="dxa" w:w="80"/>
              <w:bottom w:type="dxa" w:w="60"/>
              <w:right w:type="dxa" w:w="80"/>
            </w:tcMar>
          </w:tcPr>
          <w:p>
            <w:pPr>
              <w:spacing w:after="0" w:line="240"/>
            </w:pPr>
            <w:r>
              <w:rPr>
                <w:b/>
                <w:bCs/>
                <w:sz w:val="18"/>
                <w:szCs w:val="18"/>
              </w:rPr>
              <w:t xml:space="preserve">Range</w:t>
            </w:r>
          </w:p>
        </w:tc>
        <w:tc>
          <w:tcPr>
            <w:tcW w:type="dxa" w:w="1175"/>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6.87 (1.35)</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27.48 (5.38)</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7.11 (1.43)</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28.44 (5.74)</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3.67 (1.04)</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2–5</w:t>
            </w:r>
          </w:p>
        </w:tc>
        <w:tc>
          <w:tcPr>
            <w:tcW w:type="dxa" w:w="1175"/>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14.68 (4.18)</w:t>
            </w:r>
          </w:p>
        </w:tc>
        <w:tc>
          <w:tcPr>
            <w:tcW w:type="dxa" w:w="1173"/>
            <w:tcMar>
              <w:top w:type="dxa" w:w="60"/>
              <w:left w:type="dxa" w:w="80"/>
              <w:bottom w:type="dxa" w:w="60"/>
              <w:right w:type="dxa" w:w="80"/>
            </w:tcMar>
          </w:tcPr>
          <w:p>
            <w:pPr>
              <w:spacing w:after="0" w:line="240"/>
            </w:pPr>
            <w:r>
              <w:rPr>
                <w:b w:val="false"/>
                <w:bCs w:val="false"/>
                <w:sz w:val="18"/>
                <w:szCs w:val="18"/>
              </w:rPr>
              <w:t xml:space="preserve">16 (12–20)</w:t>
            </w:r>
          </w:p>
        </w:tc>
        <w:tc>
          <w:tcPr>
            <w:tcW w:type="dxa" w:w="1173"/>
            <w:tcMar>
              <w:top w:type="dxa" w:w="60"/>
              <w:left w:type="dxa" w:w="80"/>
              <w:bottom w:type="dxa" w:w="60"/>
              <w:right w:type="dxa" w:w="80"/>
            </w:tcMar>
          </w:tcPr>
          <w:p>
            <w:pPr>
              <w:spacing w:after="0" w:line="240"/>
            </w:pPr>
            <w:r>
              <w:rPr>
                <w:b w:val="false"/>
                <w:bCs w:val="false"/>
                <w:sz w:val="18"/>
                <w:szCs w:val="18"/>
              </w:rPr>
              <w:t xml:space="preserve">8–20</w:t>
            </w:r>
          </w:p>
        </w:tc>
        <w:tc>
          <w:tcPr>
            <w:tcW w:type="dxa" w:w="1175"/>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10.34 (2.58)</w:t>
            </w:r>
          </w:p>
        </w:tc>
        <w:tc>
          <w:tcPr>
            <w:tcW w:type="dxa" w:w="1173"/>
            <w:tcMar>
              <w:top w:type="dxa" w:w="60"/>
              <w:left w:type="dxa" w:w="80"/>
              <w:bottom w:type="dxa" w:w="60"/>
              <w:right w:type="dxa" w:w="80"/>
            </w:tcMar>
          </w:tcPr>
          <w:p>
            <w:pPr>
              <w:spacing w:after="0" w:line="240"/>
            </w:pPr>
            <w:r>
              <w:rPr>
                <w:b w:val="false"/>
                <w:bCs w:val="false"/>
                <w:sz w:val="18"/>
                <w:szCs w:val="18"/>
              </w:rPr>
              <w:t xml:space="preserve">11 (8–12)</w:t>
            </w:r>
          </w:p>
        </w:tc>
        <w:tc>
          <w:tcPr>
            <w:tcW w:type="dxa" w:w="1173"/>
            <w:tcMar>
              <w:top w:type="dxa" w:w="60"/>
              <w:left w:type="dxa" w:w="80"/>
              <w:bottom w:type="dxa" w:w="60"/>
              <w:right w:type="dxa" w:w="80"/>
            </w:tcMar>
          </w:tcPr>
          <w:p>
            <w:pPr>
              <w:spacing w:after="0" w:line="240"/>
            </w:pPr>
            <w:r>
              <w:rPr>
                <w:b w:val="false"/>
                <w:bCs w:val="false"/>
                <w:sz w:val="18"/>
                <w:szCs w:val="18"/>
              </w:rPr>
              <w:t xml:space="preserve">6–14</w:t>
            </w:r>
          </w:p>
        </w:tc>
        <w:tc>
          <w:tcPr>
            <w:tcW w:type="dxa" w:w="1175"/>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15.00 (0.00)</w:t>
            </w:r>
          </w:p>
        </w:tc>
        <w:tc>
          <w:tcPr>
            <w:tcW w:type="dxa" w:w="1173"/>
            <w:tcMar>
              <w:top w:type="dxa" w:w="60"/>
              <w:left w:type="dxa" w:w="80"/>
              <w:bottom w:type="dxa" w:w="60"/>
              <w:right w:type="dxa" w:w="80"/>
            </w:tcMar>
          </w:tcPr>
          <w:p>
            <w:pPr>
              <w:spacing w:after="0" w:line="240"/>
            </w:pPr>
            <w:r>
              <w:rPr>
                <w:b w:val="false"/>
                <w:bCs w:val="false"/>
                <w:sz w:val="18"/>
                <w:szCs w:val="18"/>
              </w:rPr>
              <w:t xml:space="preserve">15 (15–15)</w:t>
            </w:r>
          </w:p>
        </w:tc>
        <w:tc>
          <w:tcPr>
            <w:tcW w:type="dxa" w:w="1173"/>
            <w:tcMar>
              <w:top w:type="dxa" w:w="60"/>
              <w:left w:type="dxa" w:w="80"/>
              <w:bottom w:type="dxa" w:w="60"/>
              <w:right w:type="dxa" w:w="80"/>
            </w:tcMar>
          </w:tcPr>
          <w:p>
            <w:pPr>
              <w:spacing w:after="0" w:line="240"/>
            </w:pPr>
            <w:r>
              <w:rPr>
                <w:b w:val="false"/>
                <w:bCs w:val="false"/>
                <w:sz w:val="18"/>
                <w:szCs w:val="18"/>
              </w:rPr>
              <w:t xml:space="preserve">15–15</w:t>
            </w:r>
          </w:p>
        </w:tc>
        <w:tc>
          <w:tcPr>
            <w:tcW w:type="dxa" w:w="1175"/>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3.97 (0.82)</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3–5</w:t>
            </w:r>
          </w:p>
        </w:tc>
        <w:tc>
          <w:tcPr>
            <w:tcW w:type="dxa" w:w="1175"/>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13.71 (3.16)</w:t>
            </w:r>
          </w:p>
        </w:tc>
        <w:tc>
          <w:tcPr>
            <w:tcW w:type="dxa" w:w="1173"/>
            <w:tcMar>
              <w:top w:type="dxa" w:w="60"/>
              <w:left w:type="dxa" w:w="80"/>
              <w:bottom w:type="dxa" w:w="60"/>
              <w:right w:type="dxa" w:w="80"/>
            </w:tcMar>
          </w:tcPr>
          <w:p>
            <w:pPr>
              <w:spacing w:after="0" w:line="240"/>
            </w:pPr>
            <w:r>
              <w:rPr>
                <w:b w:val="false"/>
                <w:bCs w:val="false"/>
                <w:sz w:val="18"/>
                <w:szCs w:val="18"/>
              </w:rPr>
              <w:t xml:space="preserve">14 (11–17)</w:t>
            </w:r>
          </w:p>
        </w:tc>
        <w:tc>
          <w:tcPr>
            <w:tcW w:type="dxa" w:w="1173"/>
            <w:tcMar>
              <w:top w:type="dxa" w:w="60"/>
              <w:left w:type="dxa" w:w="80"/>
              <w:bottom w:type="dxa" w:w="60"/>
              <w:right w:type="dxa" w:w="80"/>
            </w:tcMar>
          </w:tcPr>
          <w:p>
            <w:pPr>
              <w:spacing w:after="0" w:line="240"/>
            </w:pPr>
            <w:r>
              <w:rPr>
                <w:b w:val="false"/>
                <w:bCs w:val="false"/>
                <w:sz w:val="18"/>
                <w:szCs w:val="18"/>
              </w:rPr>
              <w:t xml:space="preserve">9–18</w:t>
            </w:r>
          </w:p>
        </w:tc>
        <w:tc>
          <w:tcPr>
            <w:tcW w:type="dxa" w:w="1175"/>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All documents</w:t>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131.27 (10.50)</w:t>
            </w:r>
          </w:p>
        </w:tc>
        <w:tc>
          <w:tcPr>
            <w:tcW w:type="dxa" w:w="1173"/>
            <w:tcMar>
              <w:top w:type="dxa" w:w="60"/>
              <w:left w:type="dxa" w:w="80"/>
              <w:bottom w:type="dxa" w:w="60"/>
              <w:right w:type="dxa" w:w="80"/>
            </w:tcMar>
          </w:tcPr>
          <w:p>
            <w:pPr>
              <w:spacing w:after="0" w:line="240"/>
            </w:pPr>
            <w:r>
              <w:rPr>
                <w:b w:val="false"/>
                <w:bCs w:val="false"/>
                <w:sz w:val="18"/>
                <w:szCs w:val="18"/>
              </w:rPr>
              <w:t xml:space="preserve">130 (124–138)</w:t>
            </w:r>
          </w:p>
        </w:tc>
        <w:tc>
          <w:tcPr>
            <w:tcW w:type="dxa" w:w="1173"/>
            <w:tcMar>
              <w:top w:type="dxa" w:w="60"/>
              <w:left w:type="dxa" w:w="80"/>
              <w:bottom w:type="dxa" w:w="60"/>
              <w:right w:type="dxa" w:w="80"/>
            </w:tcMar>
          </w:tcPr>
          <w:p>
            <w:pPr>
              <w:spacing w:after="0" w:line="240"/>
            </w:pPr>
            <w:r>
              <w:rPr>
                <w:b w:val="false"/>
                <w:bCs w:val="false"/>
                <w:sz w:val="18"/>
                <w:szCs w:val="18"/>
              </w:rPr>
              <w:t xml:space="preserve">106–154</w:t>
            </w:r>
          </w:p>
        </w:tc>
        <w:tc>
          <w:tcPr>
            <w:tcW w:type="dxa" w:w="1175"/>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spacing w:after="160" w:line="320"/>
      </w:pPr>
      <w:r>
        <w:t xml:space="preserve">Retention is the statutory period the document must be kept. Shares are of the mean total. Report page counts were derived from referral counts at the institution's fixed four-pages-per-referral convention and were not counted independently.</w:t>
      </w: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Referrals account for a further 13.4% (17.7 pages). Genuine clinical records account for 24.9% (32.7 pages), and 15 of those 32.7 pages are the pre-printed antenatal booklet, which is a fixed manufactured item rather than generated output. Excluding it, the documentation actually produced during care is three-quarters diagnostic traffic and less than a sixth clinical narrative.</w:t>
      </w:r>
    </w:p>
    <w:p>
      <w:pPr>
        <w:spacing w:after="160" w:line="320"/>
      </w:pPr>
      <w:r>
        <w:t xml:space="preserve">The mechanism is a fixed amplification. In every episode, in all three diagnostic families, each referral generated exactly four report pages. </w:t>
      </w:r>
      <w:r>
        <w:rPr>
          <w:b/>
          <w:bCs/>
        </w:rPr>
        <w:t xml:space="preserve">One diagnostic referral therefore costs five printed pages</w:t>
      </w:r>
      <w:r>
        <w:t xml:space="preserve"> — one outgoing, four returning — and the number of referrals, not the complexity of the pregnancy, is the proximate driver of paper volume. Blood-group and laboratory investigations dominate at 35.6 and 34.4 pages per episode (27.1% and 26.2%); microbiology contributes 18.4 (14.0%), all inpatient documentation combined 17.7 (13.5%), the antenatal booklet 15.0 (11.4%) and ultrasound 10.3 (7.9%).</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 a scale-invariant figure that transfers directly to any unit that knows its delivery volume. Its composition is itself informative: </w:t>
      </w:r>
      <w:r>
        <w:rPr>
          <w:b/>
          <w:bCs/>
        </w:rPr>
        <w:t xml:space="preserve">66.7% is toner and device cost, 27.5% is paper and 5.7% is the purchased antenatal booklet.</w:t>
      </w:r>
      <w:r>
        <w:t xml:space="preserve"> An institution that counts only its paper invoice sees just over a quarter of what documentation actually costs it to produce.</w:t>
      </w:r>
    </w:p>
    <w:p>
      <w:pPr>
        <w:spacing w:after="160" w:line="320"/>
      </w:pPr>
      <w:r>
        <w:t xml:space="preserve">At </w:t>
      </w:r>
      <w:r>
        <w:rPr>
          <w:b/>
          <w:bCs/>
        </w:rPr>
        <w:t xml:space="preserve">departmental scale</w:t>
      </w:r>
      <w:r>
        <w:t xml:space="preserve"> (2,000 episodes/year) current practice prints 232,540 pages onto 248,540 sheets, consuming 1.24 tonnes of paper and costing </w:t>
      </w:r>
      <w:r>
        <w:rPr>
          <w:b/>
          <w:bCs/>
        </w:rPr>
        <w:t xml:space="preserve">2.44 million HUF net</w:t>
      </w:r>
      <w:r>
        <w:t xml:space="preserve"> (3.10 million gross) per year — 1.63 million in printing, 672,000 in paper and 140,000 in booklets — or 20.8 million HUF discounted over ten years, and adds 25 linear metres to the archive annually.</w:t>
      </w:r>
    </w:p>
    <w:p>
      <w:pPr>
        <w:spacing w:after="160" w:line="320"/>
      </w:pPr>
      <w:r>
        <w:t xml:space="preserve">At </w:t>
      </w:r>
      <w:r>
        <w:rPr>
          <w:b/>
          <w:bCs/>
        </w:rPr>
        <w:t xml:space="preserve">national scale</w:t>
      </w:r>
      <w:r>
        <w:t xml:space="preserve"> (77,500 births, KSH 2024) it prints 9.01 million pages onto </w:t>
      </w:r>
      <w:r>
        <w:rPr>
          <w:b/>
          <w:bCs/>
        </w:rPr>
        <w:t xml:space="preserve">9.63 million sheets, consumes 48.1 tonnes of paper and costs 94.5 million HUF net</w:t>
      </w:r>
      <w:r>
        <w:t xml:space="preserve"> (120.1 million gross) per year — 63.1 million in printing, 26.0 million in paper and 5.4 million in booklets, with a range of 76.3–121.9 million across the unit-price ranges — or 807.2 million HUF discounted over ten years, and adds 963 linear metres of shelving annually. Table 2 gives all scenarios at both scales, and supplementary table S1 the full cost breakdown.</w:t>
      </w:r>
    </w:p>
    <w:p>
      <w:pPr>
        <w:spacing w:after="160" w:line="320"/>
      </w:pPr>
      <w:r>
        <w:rPr>
          <w:b/>
          <w:bCs/>
        </w:rPr>
        <w:t xml:space="preserve">Table 2</w:t>
      </w:r>
      <w:r>
        <w:t xml:space="preserve"> Physical, cost, staff-time and space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880"/>
        <w:gridCol w:w="880"/>
        <w:gridCol w:w="880"/>
        <w:gridCol w:w="880"/>
        <w:gridCol w:w="880"/>
        <w:gridCol w:w="880"/>
        <w:gridCol w:w="880"/>
        <w:gridCol w:w="880"/>
      </w:tblGrid>
      <w:tr>
        <w:trPr>
          <w:tblHeader/>
        </w:trPr>
        <w:tc>
          <w:tcPr>
            <w:tcW w:type="dxa" w:w="1986"/>
            <w:shd w:fill="F2F2F2" w:val="clear"/>
            <w:tcMar>
              <w:top w:type="dxa" w:w="60"/>
              <w:left w:type="dxa" w:w="80"/>
              <w:bottom w:type="dxa" w:w="60"/>
              <w:right w:type="dxa" w:w="80"/>
            </w:tcMar>
          </w:tcPr>
          <w:p>
            <w:pPr>
              <w:spacing w:after="0" w:line="240"/>
            </w:pPr>
            <w:r>
              <w:rPr>
                <w:b/>
                <w:bCs/>
                <w:sz w:val="16"/>
                <w:szCs w:val="16"/>
              </w:rPr>
              <w:t xml:space="preserve">Scenario</w:t>
            </w:r>
          </w:p>
        </w:tc>
        <w:tc>
          <w:tcPr>
            <w:tcW w:type="dxa" w:w="880"/>
            <w:shd w:fill="F2F2F2" w:val="clear"/>
            <w:tcMar>
              <w:top w:type="dxa" w:w="60"/>
              <w:left w:type="dxa" w:w="80"/>
              <w:bottom w:type="dxa" w:w="60"/>
              <w:right w:type="dxa" w:w="80"/>
            </w:tcMar>
          </w:tcPr>
          <w:p>
            <w:pPr>
              <w:spacing w:after="0" w:line="240"/>
            </w:pPr>
            <w:r>
              <w:rPr>
                <w:b/>
                <w:bCs/>
                <w:sz w:val="16"/>
                <w:szCs w:val="16"/>
              </w:rPr>
              <w:t xml:space="preserve">Pages printed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Sheets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Paper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CO2e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Consumables (HUF/y, net)</w:t>
            </w:r>
          </w:p>
        </w:tc>
        <w:tc>
          <w:tcPr>
            <w:tcW w:type="dxa" w:w="880"/>
            <w:shd w:fill="F2F2F2" w:val="clear"/>
            <w:tcMar>
              <w:top w:type="dxa" w:w="60"/>
              <w:left w:type="dxa" w:w="80"/>
              <w:bottom w:type="dxa" w:w="60"/>
              <w:right w:type="dxa" w:w="80"/>
            </w:tcMar>
          </w:tcPr>
          <w:p>
            <w:pPr>
              <w:spacing w:after="0" w:line="240"/>
            </w:pPr>
            <w:r>
              <w:rPr>
                <w:b/>
                <w:bCs/>
                <w:sz w:val="16"/>
                <w:szCs w:val="16"/>
              </w:rPr>
              <w:t xml:space="preserve">Handling (FTE)</w:t>
            </w:r>
          </w:p>
        </w:tc>
        <w:tc>
          <w:tcPr>
            <w:tcW w:type="dxa" w:w="880"/>
            <w:shd w:fill="F2F2F2" w:val="clear"/>
            <w:tcMar>
              <w:top w:type="dxa" w:w="60"/>
              <w:left w:type="dxa" w:w="80"/>
              <w:bottom w:type="dxa" w:w="60"/>
              <w:right w:type="dxa" w:w="80"/>
            </w:tcMar>
          </w:tcPr>
          <w:p>
            <w:pPr>
              <w:spacing w:after="0" w:line="240"/>
            </w:pPr>
            <w:r>
              <w:rPr>
                <w:b/>
                <w:bCs/>
                <w:sz w:val="16"/>
                <w:szCs w:val="16"/>
              </w:rPr>
              <w:t xml:space="preserve">Archive floor (m²)</w:t>
            </w:r>
          </w:p>
        </w:tc>
        <w:tc>
          <w:tcPr>
            <w:tcW w:type="dxa" w:w="880"/>
            <w:shd w:fill="F2F2F2" w:val="clear"/>
            <w:tcMar>
              <w:top w:type="dxa" w:w="60"/>
              <w:left w:type="dxa" w:w="80"/>
              <w:bottom w:type="dxa" w:w="60"/>
              <w:right w:type="dxa" w:w="80"/>
            </w:tcMar>
          </w:tcPr>
          <w:p>
            <w:pPr>
              <w:spacing w:after="0" w:line="240"/>
            </w:pPr>
            <w:r>
              <w:rPr>
                <w:b/>
                <w:bCs/>
                <w:sz w:val="16"/>
                <w:szCs w:val="16"/>
              </w:rPr>
              <w:t xml:space="preserve">Property value (HUF)</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University department, 2,000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1.24</w:t>
            </w:r>
          </w:p>
        </w:tc>
        <w:tc>
          <w:tcPr>
            <w:tcW w:type="dxa" w:w="880"/>
            <w:tcMar>
              <w:top w:type="dxa" w:w="60"/>
              <w:left w:type="dxa" w:w="80"/>
              <w:bottom w:type="dxa" w:w="60"/>
              <w:right w:type="dxa" w:w="80"/>
            </w:tcMar>
          </w:tcPr>
          <w:p>
            <w:pPr>
              <w:spacing w:after="0" w:line="240"/>
            </w:pPr>
            <w:r>
              <w:rPr>
                <w:b w:val="false"/>
                <w:bCs w:val="false"/>
                <w:sz w:val="16"/>
                <w:szCs w:val="16"/>
              </w:rPr>
              <w:t xml:space="preserve">1.2</w:t>
            </w:r>
          </w:p>
        </w:tc>
        <w:tc>
          <w:tcPr>
            <w:tcW w:type="dxa" w:w="880"/>
            <w:tcMar>
              <w:top w:type="dxa" w:w="60"/>
              <w:left w:type="dxa" w:w="80"/>
              <w:bottom w:type="dxa" w:w="60"/>
              <w:right w:type="dxa" w:w="80"/>
            </w:tcMar>
          </w:tcPr>
          <w:p>
            <w:pPr>
              <w:spacing w:after="0" w:line="240"/>
            </w:pPr>
            <w:r>
              <w:rPr>
                <w:b w:val="false"/>
                <w:bCs w:val="false"/>
                <w:sz w:val="16"/>
                <w:szCs w:val="16"/>
              </w:rPr>
              <w:t xml:space="preserve">2.44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148</w:t>
            </w:r>
          </w:p>
        </w:tc>
        <w:tc>
          <w:tcPr>
            <w:tcW w:type="dxa" w:w="880"/>
            <w:tcMar>
              <w:top w:type="dxa" w:w="60"/>
              <w:left w:type="dxa" w:w="80"/>
              <w:bottom w:type="dxa" w:w="60"/>
              <w:right w:type="dxa" w:w="80"/>
            </w:tcMar>
          </w:tcPr>
          <w:p>
            <w:pPr>
              <w:spacing w:after="0" w:line="240"/>
            </w:pPr>
            <w:r>
              <w:rPr>
                <w:b w:val="false"/>
                <w:bCs w:val="false"/>
                <w:sz w:val="16"/>
                <w:szCs w:val="16"/>
              </w:rPr>
              <w:t xml:space="preserve">231.54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0.68</w:t>
            </w:r>
          </w:p>
        </w:tc>
        <w:tc>
          <w:tcPr>
            <w:tcW w:type="dxa" w:w="880"/>
            <w:tcMar>
              <w:top w:type="dxa" w:w="60"/>
              <w:left w:type="dxa" w:w="80"/>
              <w:bottom w:type="dxa" w:w="60"/>
              <w:right w:type="dxa" w:w="80"/>
            </w:tcMar>
          </w:tcPr>
          <w:p>
            <w:pPr>
              <w:spacing w:after="0" w:line="240"/>
            </w:pPr>
            <w:r>
              <w:rPr>
                <w:b w:val="false"/>
                <w:bCs w:val="false"/>
                <w:sz w:val="16"/>
                <w:szCs w:val="16"/>
              </w:rPr>
              <w:t xml:space="preserve">0.6</w:t>
            </w:r>
          </w:p>
        </w:tc>
        <w:tc>
          <w:tcPr>
            <w:tcW w:type="dxa" w:w="880"/>
            <w:tcMar>
              <w:top w:type="dxa" w:w="60"/>
              <w:left w:type="dxa" w:w="80"/>
              <w:bottom w:type="dxa" w:w="60"/>
              <w:right w:type="dxa" w:w="80"/>
            </w:tcMar>
          </w:tcPr>
          <w:p>
            <w:pPr>
              <w:spacing w:after="0" w:line="240"/>
            </w:pPr>
            <w:r>
              <w:rPr>
                <w:b w:val="false"/>
                <w:bCs w:val="false"/>
                <w:sz w:val="16"/>
                <w:szCs w:val="16"/>
              </w:rPr>
              <w:t xml:space="preserve">2.11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81</w:t>
            </w:r>
          </w:p>
        </w:tc>
        <w:tc>
          <w:tcPr>
            <w:tcW w:type="dxa" w:w="880"/>
            <w:tcMar>
              <w:top w:type="dxa" w:w="60"/>
              <w:left w:type="dxa" w:w="80"/>
              <w:bottom w:type="dxa" w:w="60"/>
              <w:right w:type="dxa" w:w="80"/>
            </w:tcMar>
          </w:tcPr>
          <w:p>
            <w:pPr>
              <w:spacing w:after="0" w:line="240"/>
            </w:pPr>
            <w:r>
              <w:rPr>
                <w:b w:val="false"/>
                <w:bCs w:val="false"/>
                <w:sz w:val="16"/>
                <w:szCs w:val="16"/>
              </w:rPr>
              <w:t xml:space="preserve">126.00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0.27</w:t>
            </w:r>
          </w:p>
        </w:tc>
        <w:tc>
          <w:tcPr>
            <w:tcW w:type="dxa" w:w="880"/>
            <w:tcMar>
              <w:top w:type="dxa" w:w="60"/>
              <w:left w:type="dxa" w:w="80"/>
              <w:bottom w:type="dxa" w:w="60"/>
              <w:right w:type="dxa" w:w="80"/>
            </w:tcMar>
          </w:tcPr>
          <w:p>
            <w:pPr>
              <w:spacing w:after="0" w:line="240"/>
            </w:pPr>
            <w:r>
              <w:rPr>
                <w:b w:val="false"/>
                <w:bCs w:val="false"/>
                <w:sz w:val="16"/>
                <w:szCs w:val="16"/>
              </w:rPr>
              <w:t xml:space="preserve">0.3</w:t>
            </w:r>
          </w:p>
        </w:tc>
        <w:tc>
          <w:tcPr>
            <w:tcW w:type="dxa" w:w="880"/>
            <w:tcMar>
              <w:top w:type="dxa" w:w="60"/>
              <w:left w:type="dxa" w:w="80"/>
              <w:bottom w:type="dxa" w:w="60"/>
              <w:right w:type="dxa" w:w="80"/>
            </w:tcMar>
          </w:tcPr>
          <w:p>
            <w:pPr>
              <w:spacing w:after="0" w:line="240"/>
            </w:pPr>
            <w:r>
              <w:rPr>
                <w:b w:val="false"/>
                <w:bCs w:val="false"/>
                <w:sz w:val="16"/>
                <w:szCs w:val="16"/>
              </w:rPr>
              <w:t xml:space="preserve">744.90k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36</w:t>
            </w:r>
          </w:p>
        </w:tc>
        <w:tc>
          <w:tcPr>
            <w:tcW w:type="dxa" w:w="880"/>
            <w:tcMar>
              <w:top w:type="dxa" w:w="60"/>
              <w:left w:type="dxa" w:w="80"/>
              <w:bottom w:type="dxa" w:w="60"/>
              <w:right w:type="dxa" w:w="80"/>
            </w:tcMar>
          </w:tcPr>
          <w:p>
            <w:pPr>
              <w:spacing w:after="0" w:line="240"/>
            </w:pPr>
            <w:r>
              <w:rPr>
                <w:b w:val="false"/>
                <w:bCs w:val="false"/>
                <w:sz w:val="16"/>
                <w:szCs w:val="16"/>
              </w:rPr>
              <w:t xml:space="preserve">56.78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0.08</w:t>
            </w:r>
          </w:p>
        </w:tc>
        <w:tc>
          <w:tcPr>
            <w:tcW w:type="dxa" w:w="880"/>
            <w:tcMar>
              <w:top w:type="dxa" w:w="60"/>
              <w:left w:type="dxa" w:w="80"/>
              <w:bottom w:type="dxa" w:w="60"/>
              <w:right w:type="dxa" w:w="80"/>
            </w:tcMar>
          </w:tcPr>
          <w:p>
            <w:pPr>
              <w:spacing w:after="0" w:line="240"/>
            </w:pPr>
            <w:r>
              <w:rPr>
                <w:b w:val="false"/>
                <w:bCs w:val="false"/>
                <w:sz w:val="16"/>
                <w:szCs w:val="16"/>
              </w:rPr>
              <w:t xml:space="preserve">0.1</w:t>
            </w:r>
          </w:p>
        </w:tc>
        <w:tc>
          <w:tcPr>
            <w:tcW w:type="dxa" w:w="880"/>
            <w:tcMar>
              <w:top w:type="dxa" w:w="60"/>
              <w:left w:type="dxa" w:w="80"/>
              <w:bottom w:type="dxa" w:w="60"/>
              <w:right w:type="dxa" w:w="80"/>
            </w:tcMar>
          </w:tcPr>
          <w:p>
            <w:pPr>
              <w:spacing w:after="0" w:line="240"/>
            </w:pPr>
            <w:r>
              <w:rPr>
                <w:b w:val="false"/>
                <w:bCs w:val="false"/>
                <w:sz w:val="16"/>
                <w:szCs w:val="16"/>
              </w:rPr>
              <w:t xml:space="preserve">140.00k</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9</w:t>
            </w:r>
          </w:p>
        </w:tc>
        <w:tc>
          <w:tcPr>
            <w:tcW w:type="dxa" w:w="880"/>
            <w:tcMar>
              <w:top w:type="dxa" w:w="60"/>
              <w:left w:type="dxa" w:w="80"/>
              <w:bottom w:type="dxa" w:w="60"/>
              <w:right w:type="dxa" w:w="80"/>
            </w:tcMar>
          </w:tcPr>
          <w:p>
            <w:pPr>
              <w:spacing w:after="0" w:line="240"/>
            </w:pPr>
            <w:r>
              <w:rPr>
                <w:b w:val="false"/>
                <w:bCs w:val="false"/>
                <w:sz w:val="16"/>
                <w:szCs w:val="16"/>
              </w:rPr>
              <w:t xml:space="preserve">13.61 M</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Hungary, 77,500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48.05</w:t>
            </w:r>
          </w:p>
        </w:tc>
        <w:tc>
          <w:tcPr>
            <w:tcW w:type="dxa" w:w="880"/>
            <w:tcMar>
              <w:top w:type="dxa" w:w="60"/>
              <w:left w:type="dxa" w:w="80"/>
              <w:bottom w:type="dxa" w:w="60"/>
              <w:right w:type="dxa" w:w="80"/>
            </w:tcMar>
          </w:tcPr>
          <w:p>
            <w:pPr>
              <w:spacing w:after="0" w:line="240"/>
            </w:pPr>
            <w:r>
              <w:rPr>
                <w:b w:val="false"/>
                <w:bCs w:val="false"/>
                <w:sz w:val="16"/>
                <w:szCs w:val="16"/>
              </w:rPr>
              <w:t xml:space="preserve">45.7</w:t>
            </w:r>
          </w:p>
        </w:tc>
        <w:tc>
          <w:tcPr>
            <w:tcW w:type="dxa" w:w="880"/>
            <w:tcMar>
              <w:top w:type="dxa" w:w="60"/>
              <w:left w:type="dxa" w:w="80"/>
              <w:bottom w:type="dxa" w:w="60"/>
              <w:right w:type="dxa" w:w="80"/>
            </w:tcMar>
          </w:tcPr>
          <w:p>
            <w:pPr>
              <w:spacing w:after="0" w:line="240"/>
            </w:pPr>
            <w:r>
              <w:rPr>
                <w:b w:val="false"/>
                <w:bCs w:val="false"/>
                <w:sz w:val="16"/>
                <w:szCs w:val="16"/>
              </w:rPr>
              <w:t xml:space="preserve">94.54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5,751</w:t>
            </w:r>
          </w:p>
        </w:tc>
        <w:tc>
          <w:tcPr>
            <w:tcW w:type="dxa" w:w="880"/>
            <w:tcMar>
              <w:top w:type="dxa" w:w="60"/>
              <w:left w:type="dxa" w:w="80"/>
              <w:bottom w:type="dxa" w:w="60"/>
              <w:right w:type="dxa" w:w="80"/>
            </w:tcMar>
          </w:tcPr>
          <w:p>
            <w:pPr>
              <w:spacing w:after="0" w:line="240"/>
            </w:pPr>
            <w:r>
              <w:rPr>
                <w:b w:val="false"/>
                <w:bCs w:val="false"/>
                <w:sz w:val="16"/>
                <w:szCs w:val="16"/>
              </w:rPr>
              <w:t xml:space="preserve">8.97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26.20</w:t>
            </w:r>
          </w:p>
        </w:tc>
        <w:tc>
          <w:tcPr>
            <w:tcW w:type="dxa" w:w="880"/>
            <w:tcMar>
              <w:top w:type="dxa" w:w="60"/>
              <w:left w:type="dxa" w:w="80"/>
              <w:bottom w:type="dxa" w:w="60"/>
              <w:right w:type="dxa" w:w="80"/>
            </w:tcMar>
          </w:tcPr>
          <w:p>
            <w:pPr>
              <w:spacing w:after="0" w:line="240"/>
            </w:pPr>
            <w:r>
              <w:rPr>
                <w:b w:val="false"/>
                <w:bCs w:val="false"/>
                <w:sz w:val="16"/>
                <w:szCs w:val="16"/>
              </w:rPr>
              <w:t xml:space="preserve">24.9</w:t>
            </w:r>
          </w:p>
        </w:tc>
        <w:tc>
          <w:tcPr>
            <w:tcW w:type="dxa" w:w="880"/>
            <w:tcMar>
              <w:top w:type="dxa" w:w="60"/>
              <w:left w:type="dxa" w:w="80"/>
              <w:bottom w:type="dxa" w:w="60"/>
              <w:right w:type="dxa" w:w="80"/>
            </w:tcMar>
          </w:tcPr>
          <w:p>
            <w:pPr>
              <w:spacing w:after="0" w:line="240"/>
            </w:pPr>
            <w:r>
              <w:rPr>
                <w:b w:val="false"/>
                <w:bCs w:val="false"/>
                <w:sz w:val="16"/>
                <w:szCs w:val="16"/>
              </w:rPr>
              <w:t xml:space="preserve">81.88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3,130</w:t>
            </w:r>
          </w:p>
        </w:tc>
        <w:tc>
          <w:tcPr>
            <w:tcW w:type="dxa" w:w="880"/>
            <w:tcMar>
              <w:top w:type="dxa" w:w="60"/>
              <w:left w:type="dxa" w:w="80"/>
              <w:bottom w:type="dxa" w:w="60"/>
              <w:right w:type="dxa" w:w="80"/>
            </w:tcMar>
          </w:tcPr>
          <w:p>
            <w:pPr>
              <w:spacing w:after="0" w:line="240"/>
            </w:pPr>
            <w:r>
              <w:rPr>
                <w:b w:val="false"/>
                <w:bCs w:val="false"/>
                <w:sz w:val="16"/>
                <w:szCs w:val="16"/>
              </w:rPr>
              <w:t xml:space="preserve">4.88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10.47</w:t>
            </w:r>
          </w:p>
        </w:tc>
        <w:tc>
          <w:tcPr>
            <w:tcW w:type="dxa" w:w="880"/>
            <w:tcMar>
              <w:top w:type="dxa" w:w="60"/>
              <w:left w:type="dxa" w:w="80"/>
              <w:bottom w:type="dxa" w:w="60"/>
              <w:right w:type="dxa" w:w="80"/>
            </w:tcMar>
          </w:tcPr>
          <w:p>
            <w:pPr>
              <w:spacing w:after="0" w:line="240"/>
            </w:pPr>
            <w:r>
              <w:rPr>
                <w:b w:val="false"/>
                <w:bCs w:val="false"/>
                <w:sz w:val="16"/>
                <w:szCs w:val="16"/>
              </w:rPr>
              <w:t xml:space="preserve">9.9</w:t>
            </w:r>
          </w:p>
        </w:tc>
        <w:tc>
          <w:tcPr>
            <w:tcW w:type="dxa" w:w="880"/>
            <w:tcMar>
              <w:top w:type="dxa" w:w="60"/>
              <w:left w:type="dxa" w:w="80"/>
              <w:bottom w:type="dxa" w:w="60"/>
              <w:right w:type="dxa" w:w="80"/>
            </w:tcMar>
          </w:tcPr>
          <w:p>
            <w:pPr>
              <w:spacing w:after="0" w:line="240"/>
            </w:pPr>
            <w:r>
              <w:rPr>
                <w:b w:val="false"/>
                <w:bCs w:val="false"/>
                <w:sz w:val="16"/>
                <w:szCs w:val="16"/>
              </w:rPr>
              <w:t xml:space="preserve">28.86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1,410</w:t>
            </w:r>
          </w:p>
        </w:tc>
        <w:tc>
          <w:tcPr>
            <w:tcW w:type="dxa" w:w="880"/>
            <w:tcMar>
              <w:top w:type="dxa" w:w="60"/>
              <w:left w:type="dxa" w:w="80"/>
              <w:bottom w:type="dxa" w:w="60"/>
              <w:right w:type="dxa" w:w="80"/>
            </w:tcMar>
          </w:tcPr>
          <w:p>
            <w:pPr>
              <w:spacing w:after="0" w:line="240"/>
            </w:pPr>
            <w:r>
              <w:rPr>
                <w:b w:val="false"/>
                <w:bCs w:val="false"/>
                <w:sz w:val="16"/>
                <w:szCs w:val="16"/>
              </w:rPr>
              <w:t xml:space="preserve">2.20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3.09</w:t>
            </w:r>
          </w:p>
        </w:tc>
        <w:tc>
          <w:tcPr>
            <w:tcW w:type="dxa" w:w="880"/>
            <w:tcMar>
              <w:top w:type="dxa" w:w="60"/>
              <w:left w:type="dxa" w:w="80"/>
              <w:bottom w:type="dxa" w:w="60"/>
              <w:right w:type="dxa" w:w="80"/>
            </w:tcMar>
          </w:tcPr>
          <w:p>
            <w:pPr>
              <w:spacing w:after="0" w:line="240"/>
            </w:pPr>
            <w:r>
              <w:rPr>
                <w:b w:val="false"/>
                <w:bCs w:val="false"/>
                <w:sz w:val="16"/>
                <w:szCs w:val="16"/>
              </w:rPr>
              <w:t xml:space="preserve">2.9</w:t>
            </w:r>
          </w:p>
        </w:tc>
        <w:tc>
          <w:tcPr>
            <w:tcW w:type="dxa" w:w="880"/>
            <w:tcMar>
              <w:top w:type="dxa" w:w="60"/>
              <w:left w:type="dxa" w:w="80"/>
              <w:bottom w:type="dxa" w:w="60"/>
              <w:right w:type="dxa" w:w="80"/>
            </w:tcMar>
          </w:tcPr>
          <w:p>
            <w:pPr>
              <w:spacing w:after="0" w:line="240"/>
            </w:pPr>
            <w:r>
              <w:rPr>
                <w:b w:val="false"/>
                <w:bCs w:val="false"/>
                <w:sz w:val="16"/>
                <w:szCs w:val="16"/>
              </w:rPr>
              <w:t xml:space="preserve">5.42 M</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338</w:t>
            </w:r>
          </w:p>
        </w:tc>
        <w:tc>
          <w:tcPr>
            <w:tcW w:type="dxa" w:w="880"/>
            <w:tcMar>
              <w:top w:type="dxa" w:w="60"/>
              <w:left w:type="dxa" w:w="80"/>
              <w:bottom w:type="dxa" w:w="60"/>
              <w:right w:type="dxa" w:w="80"/>
            </w:tcMar>
          </w:tcPr>
          <w:p>
            <w:pPr>
              <w:spacing w:after="0" w:line="240"/>
            </w:pPr>
            <w:r>
              <w:rPr>
                <w:b w:val="false"/>
                <w:bCs w:val="false"/>
                <w:sz w:val="16"/>
                <w:szCs w:val="16"/>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paper spend is not the interesting number. Under statutory retention the steady-state national holding for these documents is </w:t>
      </w:r>
      <w:r>
        <w:rPr>
          <w:b/>
          <w:bCs/>
        </w:rPr>
        <w:t xml:space="preserve">316 million sheets on 31,633 linear metres of shelving, occupying 5,751 m² of floor</w:t>
      </w:r>
      <w:r>
        <w:t xml:space="preserve"> and immobilising </w:t>
      </w:r>
      <w:r>
        <w:rPr>
          <w:b/>
          <w:bCs/>
        </w:rPr>
        <w:t xml:space="preserve">8.97 billion HUF</w:t>
      </w:r>
      <w:r>
        <w:t xml:space="preserve"> of property value at the NAV valuation. The consumables cost 94.5 million HUF a year; the building the output lives in represents </w:t>
      </w:r>
      <w:r>
        <w:rPr>
          <w:b/>
          <w:bCs/>
        </w:rPr>
        <w:t xml:space="preserve">95 times</w:t>
      </w:r>
      <w:r>
        <w:t xml:space="preserve"> that in tied-up capital. Per care episode this is </w:t>
      </w:r>
      <w:r>
        <w:rPr>
          <w:b/>
          <w:bCs/>
        </w:rPr>
        <w:t xml:space="preserve">115,772 HUF of immobilised property against 1,220 HUF of consumables</w:t>
      </w:r>
      <w:r>
        <w:t xml:space="preserve"> — again scale-invariant, and at departmental scale it amounts to 231.5 million HUF held in 148 m² of archive.</w:t>
      </w:r>
    </w:p>
    <w:p>
      <w:pPr>
        <w:spacing w:after="160" w:line="320"/>
      </w:pPr>
      <w:r>
        <w:t xml:space="preserve">One-way sensitivity analysis (Table 3) puts the national estimate between 6.90 and 12.34 billion HUF.</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pStyle w:val="Heading2"/>
        <w:spacing w:after="140" w:before="280"/>
      </w:pPr>
      <w:r>
        <w:rPr>
          <w:b/>
          <w:bCs/>
          <w:sz w:val="22"/>
          <w:szCs w:val="22"/>
        </w:rPr>
        <w:t xml:space="preserve">Staff time and forgone clinical space</w:t>
      </w:r>
    </w:p>
    <w:p>
      <w:pPr>
        <w:spacing w:after="160" w:line="320"/>
      </w:pPr>
      <w:r>
        <w:t xml:space="preserve">Two burdens do not appear in any invoice. The first is time. Current practice requires </w:t>
      </w:r>
      <w:r>
        <w:rPr>
          <w:b/>
          <w:bCs/>
        </w:rPr>
        <w:t xml:space="preserve">45.6 documents to be printed and filed per care episode</w:t>
      </w:r>
      <w:r>
        <w:t xml:space="preserve"> — 17.7 referrals, 17.7 paired diagnostic reports and 10.3 ultrasound reports. At a conservative 30 seconds each this is </w:t>
      </w:r>
      <w:r>
        <w:rPr>
          <w:b/>
          <w:bCs/>
        </w:rPr>
        <w:t xml:space="preserve">22.8 minutes of handling per care episode</w:t>
      </w:r>
      <w:r>
        <w:t xml:space="preserve">: 761 hours a year at departmental scale (0.44 FTE) and </w:t>
      </w:r>
      <w:r>
        <w:rPr>
          <w:b/>
          <w:bCs/>
        </w:rPr>
        <w:t xml:space="preserve">29,476 hours, or 17.1 FTE, nationally</w:t>
      </w:r>
      <w:r>
        <w:t xml:space="preserve"> (11.4–34.3 FTE across the 20–60 second range). Duplex printing does not change this at all — the same documents are still printed and filed — whereas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it is floor area inside hospital buildings, withdrawn from clinical or productive use. It is equivalent to </w:t>
      </w:r>
      <w:r>
        <w:rPr>
          <w:b/>
          <w:bCs/>
        </w:rPr>
        <w:t xml:space="preserve">320 antenatal consulting rooms or 164 delivery rooms</w:t>
      </w:r>
      <w:r>
        <w:t xml:space="preserve">. At departmental scale the 148 m² archive is equivalent to 8 consulting rooms, or just over 4 delivery rooms. This is the sense in which the property valuation above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a 45.5% reduction, short of 50% because odd page counts round up and the booklet is already double-sided — and cuts the steady-state archive to 3,130 m² and 4.88 billion HUF, </w:t>
      </w:r>
      <w:r>
        <w:rPr>
          <w:b/>
          <w:bCs/>
        </w:rPr>
        <w:t xml:space="preserve">releasing 4.09 billion HUF of property value</w:t>
      </w:r>
      <w:r>
        <w:t xml:space="preserve"> (105.5 million HUF at departmental scale). But it leaves the number of </w:t>
      </w:r>
      <w:r>
        <w:rPr>
          <w:i/>
          <w:iCs/>
        </w:rPr>
        <w:t xml:space="preserve">printed pages</w:t>
      </w:r>
      <w:r>
        <w:t xml:space="preserve"> untouched, so it saves nothing on toner: consumable spend falls only from 94.5 to 81.9 million HUF nationally, a </w:t>
      </w:r>
      <w:r>
        <w:rPr>
          <w:b/>
          <w:bCs/>
        </w:rPr>
        <w:t xml:space="preserve">13.4% reduction</w:t>
      </w:r>
      <w:r>
        <w:t xml:space="preserve"> (327,000 HUF departmentally). It leaves handling time untouched for the same reason. Duplex is an archive intervention, not a printing-cost or a workforce intervention, and should be argued as one. A caveat is operational rather than economic: any form carrying a signature field on its reverse cannot be duplexed without redesign.</w:t>
      </w:r>
    </w:p>
    <w:p>
      <w:pPr>
        <w:spacing w:after="160" w:line="320"/>
      </w:pPr>
      <w:r>
        <w:rPr>
          <w:b/>
          <w:bCs/>
        </w:rPr>
        <w:t xml:space="preserve">Electronic result delivery (S2)</w:t>
      </w:r>
      <w:r>
        <w:t xml:space="preserve"> — retrieving diagnostic reports from the national exchange instead of printing them — is the only intervention that reduces both burdens at once. Printed pages fall from 116.3 to 35.3 per episode and sheets to 27.1, a 78.2% reduction. Consumable spend falls to 28.9 million HUF nationally, a </w:t>
      </w:r>
      <w:r>
        <w:rPr>
          <w:b/>
          <w:bCs/>
        </w:rPr>
        <w:t xml:space="preserve">69.5% reduction</w:t>
      </w:r>
      <w:r>
        <w:t xml:space="preserve"> (1.70 million HUF saved departmentally), and the archive to 1,410 m² and 2.20 billion HUF, </w:t>
      </w:r>
      <w:r>
        <w:rPr>
          <w:b/>
          <w:bCs/>
        </w:rPr>
        <w:t xml:space="preserve">releasing 6.77 billion HUF</w:t>
      </w:r>
      <w:r>
        <w:t xml:space="preserve">. Handling time falls from 22.8 to 8.8 minutes per episode, releasing 466 hours a year departmentally and 10.5 FTE nationally. Measured on recurrent cost it is worth five times what duplex is worth; measured on capital, 1.7 times; measured on staff time, duplex is worth nothing at all.</w:t>
      </w:r>
    </w:p>
    <w:p>
      <w:pPr>
        <w:spacing w:after="160" w:line="320"/>
      </w:pPr>
      <w:r>
        <w:rPr>
          <w:b/>
          <w:bCs/>
        </w:rPr>
        <w:t xml:space="preserve">A paperless pathway (S3)</w:t>
      </w:r>
      <w:r>
        <w:t xml:space="preserve">, retaining only the patient-held booklet, reduces printed output to zero and the archive to 338 m² and 0.53 billion HUF. It is not free: the booklets themselves still cost 70 HUF per episode, 5.4 million HUF a year nationally, which is the irreducible floor of this pathway as long as the patient-held record stays on paper. The residual is the booklet, and it is deliberate: a patient-held record that works offline has a function no electronic system replaces.</w:t>
      </w:r>
    </w:p>
    <w:p>
      <w:pPr>
        <w:pStyle w:val="Heading2"/>
        <w:spacing w:after="140" w:before="280"/>
      </w:pPr>
      <w:r>
        <w:rPr>
          <w:b/>
          <w:bCs/>
          <w:sz w:val="22"/>
          <w:szCs w:val="22"/>
        </w:rPr>
        <w:t xml:space="preserve">Greenhouse-gas emissions</w:t>
      </w:r>
    </w:p>
    <w:p>
      <w:pPr>
        <w:spacing w:after="160" w:line="320"/>
      </w:pPr>
      <w:r>
        <w:t xml:space="preserve">Paper manufacture for current practice accounts for </w:t>
      </w:r>
      <w:r>
        <w:rPr>
          <w:b/>
          <w:bCs/>
        </w:rPr>
        <w:t xml:space="preserve">45.7 tonnes CO2e per year nationally</w:t>
      </w:r>
      <w:r>
        <w:t xml:space="preserve"> (sensitivity 29.2 to 95.1 across paper grades; 33.1 to 48.2 across the Kraft interquartile range) and 1.2 tonnes at departmental scale, or </w:t>
      </w:r>
      <w:r>
        <w:rPr>
          <w:b/>
          <w:bCs/>
        </w:rPr>
        <w:t xml:space="preserve">0.59 kg CO2e per care episode</w:t>
      </w:r>
      <w:r>
        <w:t xml:space="preserve">. Duplex printing halves this to 24.9 tonnes, electronic report delivery reduces it to 9.9 and a paperless pathway to 2.9 (Table 2).</w:t>
      </w:r>
    </w:p>
    <w:p>
      <w:pPr>
        <w:spacing w:after="160" w:line="320"/>
      </w:pPr>
      <w:r>
        <w:t xml:space="preserve">These are modest quantities in absolute terms, and we state that plainly rather than inflate them: on its own, the emissions saving is not the reason to change this pathway. The emissions figure earns its place for two other reasons. It converts a physical count into the unit that sustainability reporting now requires, so a department can put a defensible number in an environmental report rather than an estimate. And it points the same way as everything else in this analysis: the reduction tracks the number of pages printed, so the intervention that removes printed copies of electronic results removes 78% of the emissions as well as 78% of the sheets.</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that has been captured electronically, printed once, filed once, and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the composition: 62% reports against 14% generated clinical record. The second is the ratio between flow and stock: </w:t>
      </w:r>
      <w:r>
        <w:rPr>
          <w:b/>
          <w:bCs/>
        </w:rPr>
        <w:t xml:space="preserve">1,220 HUF of consumables per care episode against 115,772 HUF of immobilised property</w:t>
      </w:r>
      <w:r>
        <w:t xml:space="preserve"> — a factor of 95. The third is inside the consumable figure itself: </w:t>
      </w:r>
      <w:r>
        <w:rPr>
          <w:b/>
          <w:bCs/>
        </w:rPr>
        <w:t xml:space="preserve">66.7% of it is toner, not paper.</w:t>
      </w:r>
      <w:r>
        <w:t xml:space="preserve"> The fourth is that none of these capture the two largest burdens, because neither reaches an invoice: </w:t>
      </w:r>
      <w:r>
        <w:rPr>
          <w:b/>
          <w:bCs/>
        </w:rPr>
        <w:t xml:space="preserve">22.8 minutes of staff handling per episode — 17.1 FTE nationally — and 5,751 m² of hospital floor withdrawn from clinical use.</w:t>
      </w:r>
      <w:r>
        <w:t xml:space="preserve"> Any analysis that stops at the annual stationery invoice, as cost arguments in this area usually do, sees just over a quarter of the recurrent consumable cost, about one percent of the capital position, and none of the workforce or the space. Greenhouse-gas emissions, at 45.7 tonnes CO2e a year, are the one dimension where the honest answer is that the quantity is small; we report it because environmental reporting requires it and because it moves with the same lever, not because it carries the argument.</w:t>
      </w:r>
    </w:p>
    <w:p>
      <w:pPr>
        <w:spacing w:after="160" w:line="320"/>
      </w:pPr>
      <w:r>
        <w:t xml:space="preserve">The fixed 4:1 amplification gives the finding an unusually clean policy handle. Because every referral deterministically produces five printed pages, paper volume is a linear function of referral count, and any intervention that changes how </w:t>
      </w:r>
      <w:r>
        <w:rPr>
          <w:i/>
          <w:iCs/>
        </w:rPr>
        <w:t xml:space="preserve">reports</w:t>
      </w:r>
      <w:r>
        <w:t xml:space="preserve"> are delivered scales directly with the number of investigations ordered. This is why S2 releases 1.7 times as much property value as S1 despite being conceptually the smaller change, and five times as much recurrent cost, and why the gap would widen further in any setting that orders more investigations.</w:t>
      </w:r>
    </w:p>
    <w:p>
      <w:pPr>
        <w:pStyle w:val="Heading2"/>
        <w:spacing w:after="140" w:before="280"/>
      </w:pPr>
      <w:r>
        <w:rPr>
          <w:b/>
          <w:bCs/>
          <w:sz w:val="22"/>
          <w:szCs w:val="22"/>
        </w:rPr>
        <w:t xml:space="preserve">Comparison with existing work</w:t>
      </w:r>
    </w:p>
    <w:p>
      <w:pPr>
        <w:spacing w:after="160" w:line="320"/>
      </w:pPr>
      <w:r>
        <w:t xml:space="preserve">Direct comparators are scarce, and this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[6,7]. Our result is complementary rather than contradictory — it prices the artefact rather than the labour — but it also suggests the two literatures have been measuring opposite ends of the same problem and missing the middle.</w:t>
      </w:r>
    </w:p>
    <w:p>
      <w:pPr>
        <w:spacing w:after="160" w:line="320"/>
      </w:pPr>
      <w:r>
        <w:t xml:space="preserve">Our count is roughly double the working assumption of 64 pages per birth used in earlier planning for this project. The gap is explained by scope: the lower figure covers the delivery hospital chart, whereas our count spans the whole antenatal and delivery pathway including the diagnostic traffic that dominates it. The discrepancy is worth stating plainly, because it is precisely the kind of scope difference that makes unmeasured assumptions unsafe.</w:t>
      </w:r>
    </w:p>
    <w:p>
      <w:pPr>
        <w:pStyle w:val="Heading2"/>
        <w:spacing w:after="140" w:before="280"/>
      </w:pPr>
      <w:r>
        <w:rPr>
          <w:b/>
          <w:bCs/>
          <w:sz w:val="22"/>
          <w:szCs w:val="22"/>
        </w:rPr>
        <w:t xml:space="preserve">The other side of the ledger</w:t>
      </w:r>
    </w:p>
    <w:p>
      <w:pPr>
        <w:spacing w:after="160" w:line="320"/>
      </w:pPr>
      <w:r>
        <w:t xml:space="preserve">A paper that argues for digitisation owes the reader the risks it creates. Long-term </w:t>
      </w:r>
      <w:r>
        <w:rPr>
          <w:i/>
          <w:iCs/>
        </w:rPr>
        <w:t xml:space="preserve">digital</w:t>
      </w:r>
      <w:r>
        <w:t xml:space="preserve"> preservation is not a solved problem: format obsolescence, migration obligations, and above all the maintenance of authenticated electronic signatures and timestamps across a 50-year retention period all require active, funded curation from the first day of a project rather than as an afterthought. Cyber risk is real and its failure mode is a forced reversion to exactly the paper process being replaced, as documented in a solo practice that spent three months on paper after a ransomware attack [8]. And usability is not a soft consideration: hospitals with poorer electronic record usability show significantly higher odds of nurse burnout (OR 1.41, 95% CI 1.21–1.64) and of surgical inpatient mortality (OR 1.21, 95% CI 1.09–1.35) [3]. A badly implemented paperless pathway can plausibly cost more, in the currency that matters, than the paper it removes.</w:t>
      </w:r>
    </w:p>
    <w:p>
      <w:pPr>
        <w:spacing w:after="160" w:line="320"/>
      </w:pPr>
      <w:r>
        <w:t xml:space="preserve">The corollary is not that digitisation should wait, but that the two interventions answer different questions and should be argued separately. Duplex printing releases 4.09 billion HUF of property value nationally — 105.5 million HUF for a single 2,000-delivery department — requires no investment, no legal change and no new system, and carries none of the risks above; it should be done immediately, and defended on archive space rather than on a printing-cost saving it does not deliver. Electronic report delivery is the only lever that moves the recurrent cost, the staff time and the space at once — and it is also the one that carries the risks above, so it is the one that needs the careful implementation. The 17.1 FTE it addresses is worth stating in workforce terms precisely because it is </w:t>
      </w:r>
      <w:r>
        <w:rPr>
          <w:i/>
          <w:iCs/>
        </w:rPr>
        <w:t xml:space="preserve">not</w:t>
      </w:r>
      <w:r>
        <w:t xml:space="preserve"> money: this time is not paid to anyone as a documentation post, it is taken a few seconds at a time from clinicians, midwives and administrators who are doing something else. That is why it never appears in a budget, and why it is nonetheless real. In a system with an obstetric and midwifery staffing shortage, seventeen full-time equivalents of displaced clinical capacity spent printing and filing copies of electronic documents is the more consequential of the two findings.</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perfectly across all 100 episodes; and that both monetary unit costs are official published prices rather than estimates.</w:t>
      </w:r>
    </w:p>
    <w:p>
      <w:pPr>
        <w:spacing w:after="160" w:line="320"/>
      </w:pPr>
      <w:r>
        <w:t xml:space="preserve">The limitations are substantial and we state them in order of severity.</w:t>
      </w:r>
    </w:p>
    <w:p>
      <w:pPr>
        <w:spacing w:after="160" w:line="320"/>
      </w:pPr>
      <w:r>
        <w:rPr>
          <w:i/>
          <w:iCs/>
        </w:rPr>
        <w:t xml:space="preserve">Derived report counts.</w:t>
      </w:r>
      <w:r>
        <w:t xml:space="preserve"> Report pages were not counted independently but derived from referrals at the institution's fixed 4:1 convention. If real reports vary in length, our estimate of the 69% report share is correspondingly soft, and the standard deviation of the total is understated. This is the first thing an external validation should measure.</w:t>
      </w:r>
    </w:p>
    <w:p>
      <w:pPr>
        <w:spacing w:after="160" w:line="320"/>
      </w:pPr>
      <w:r>
        <w:rPr>
          <w:i/>
          <w:iCs/>
        </w:rPr>
        <w:t xml:space="preserve">Single centre, single country.</w:t>
      </w:r>
      <w:r>
        <w:t xml:space="preserve"> One institution's forms, one country's retention law and one procurement price. The physical constants and the structure of the model transfer; the absolute figures do not.</w:t>
      </w:r>
    </w:p>
    <w:p>
      <w:pPr>
        <w:spacing w:after="160" w:line="320"/>
      </w:pPr>
      <w:r>
        <w:rPr>
          <w:i/>
          <w:iCs/>
        </w:rPr>
        <w:t xml:space="preserve">Sampling frame unspecified.</w:t>
      </w:r>
      <w:r>
        <w:t xml:space="preserve"> ⟦Pending author input — see Design and setting.⟧ Until it is stated, the 100 episodes cannot be claimed to be representative of the department's case mix.</w:t>
      </w:r>
    </w:p>
    <w:p>
      <w:pPr>
        <w:spacing w:after="160" w:line="320"/>
      </w:pPr>
      <w:r>
        <w:rPr>
          <w:i/>
          <w:iCs/>
        </w:rPr>
        <w:t xml:space="preserve">Staff time is quantified but not costed.</w:t>
      </w:r>
      <w:r>
        <w:t xml:space="preserve"> Handling time is absorbed into existing duties rather than paid as a distinct post, so we report it as displaced capacity and not as money. This is a deliberate choice, but it means the monetary totals — </w:t>
      </w:r>
      <w:r>
        <w:rPr>
          <w:b/>
          <w:bCs/>
        </w:rPr>
        <w:t xml:space="preserve">94.5 million HUF of annual consumables and 8.97 billion HUF of immobilised property nationally, 2.44 million and 231.5 million departmentally</w:t>
      </w:r>
      <w:r>
        <w:t xml:space="preserve"> — are floors, and are not comparable with analyses that do monetise staff time.</w:t>
      </w:r>
    </w:p>
    <w:p>
      <w:pPr>
        <w:spacing w:after="160" w:line="320"/>
      </w:pPr>
      <w:r>
        <w:rPr>
          <w:i/>
          <w:iCs/>
        </w:rPr>
        <w:t xml:space="preserve">Handling time is modelled, not observed.</w:t>
      </w:r>
      <w:r>
        <w:t xml:space="preserve"> The 30 seconds per document is an assumption supplied by the authors as a conservative lower bound, not a time-and-motion measurement, and the resulting FTE figures inherit that status entirely. They are reported in hours and FTE rather than money precisely so that they are not mistaken for a costed finding. A direct time-and-motion study is the obvious next step, and the 20–60 second range should be read as the honest width of the current estimate.</w:t>
      </w:r>
    </w:p>
    <w:p>
      <w:pPr>
        <w:spacing w:after="160" w:line="320"/>
      </w:pPr>
      <w:r>
        <w:rPr>
          <w:i/>
          <w:iCs/>
        </w:rPr>
        <w:t xml:space="preserve">Emissions are a factor-based estimate, not a life-cycle assessment.</w:t>
      </w:r>
      <w:r>
        <w:t xml:space="preserve"> A single cradle-to-gate factor is applied to paper mass. Printing energy, transport, archive conditioning over decades and end-of-life destruction are excluded, and the grade-level spread in the source data is wide (608 to 1978 kg CO2e per tonne), so the figure is an order of magnitude rather than a measurement. Water and land-use footprints were considered and omitted: we could not identify a per-tonne figure we were willing to cite, and reporting an unsourced number beside a sourced one would misrepresent the confidence of both.</w:t>
      </w:r>
    </w:p>
    <w:p>
      <w:pPr>
        <w:spacing w:after="160" w:line="320"/>
      </w:pPr>
      <w:r>
        <w:rPr>
          <w:i/>
          <w:iCs/>
        </w:rPr>
        <w:t xml:space="preserve">Space equivalents are illustrative.</w:t>
      </w:r>
      <w:r>
        <w:t xml:space="preserve"> Expressing the archive as consulting or delivery rooms assumes the space is physically convertible, which in an old hospital building it often is not.</w:t>
      </w:r>
    </w:p>
    <w:p>
      <w:pPr>
        <w:spacing w:after="160" w:line="320"/>
      </w:pPr>
      <w:r>
        <w:rPr>
          <w:i/>
          <w:iCs/>
        </w:rPr>
        <w:t xml:space="preserve">Printing charge interpretation.</w:t>
      </w:r>
      <w:r>
        <w:t xml:space="preserve"> We treat the 7 HUF per-page charge as toner and device cost exclusive of paper, and add paper on top. If the local convention is an all-in cost per page, consumable cost falls by the paper component; the parameter file carries a single flag for this and the model recomputes without further change.</w:t>
      </w:r>
    </w:p>
    <w:p>
      <w:pPr>
        <w:spacing w:after="160" w:line="320"/>
      </w:pPr>
      <w:r>
        <w:rPr>
          <w:i/>
          <w:iCs/>
        </w:rPr>
        <w:t xml:space="preserve">Property value is capital, not cash.</w:t>
      </w:r>
      <w:r>
        <w:t xml:space="preserve"> Immobilised property value is not an annual budget line, and releasing it requires the space to be repurposable. Where it is not, the saving is notional. We report it as capital deliberately and do not annuitise it. It is also valued at a single site's NAV assessment, which will not hold across a national archive estate.</w:t>
      </w:r>
    </w:p>
    <w:p>
      <w:pPr>
        <w:spacing w:after="160" w:line="320"/>
      </w:pPr>
      <w:r>
        <w:rPr>
          <w:i/>
          <w:iCs/>
        </w:rPr>
        <w:t xml:space="preserve">Archival conventions assumed.</w:t>
      </w:r>
      <w:r>
        <w:t xml:space="preserve"> Shelving density and floor efficiency are the two largest sources of uncertainty in the headline figure and are the cheapest to eliminate: both can be measured in an afternoon in a real archive.</w:t>
      </w:r>
    </w:p>
    <w:p>
      <w:pPr>
        <w:spacing w:after="160" w:line="320"/>
      </w:pPr>
      <w:r>
        <w:rPr>
          <w:i/>
          <w:iCs/>
        </w:rPr>
        <w:t xml:space="preserve">Environmental figures are illustrative.</w:t>
      </w:r>
      <w:r>
        <w:t xml:space="preserve"> Generic emission factors, not a life-cycle assessment.</w:t>
      </w:r>
    </w:p>
    <w:p>
      <w:pPr>
        <w:pStyle w:val="Heading2"/>
        <w:spacing w:after="140" w:before="280"/>
      </w:pPr>
      <w:r>
        <w:rPr>
          <w:b/>
          <w:bCs/>
          <w:sz w:val="22"/>
          <w:szCs w:val="22"/>
        </w:rPr>
        <w:t xml:space="preserve">Implications and further work</w:t>
      </w:r>
    </w:p>
    <w:p>
      <w:pPr>
        <w:spacing w:after="160" w:line="320"/>
      </w:pPr>
      <w:r>
        <w:t xml:space="preserve">Three things follow. First, duplex printing and duplex-ready form design are an immediate, investment-free intervention, subject only to keeping signature fields off reverse sides. Second, the target of any digitisation effort in this pathway is </w:t>
      </w:r>
      <w:r>
        <w:rPr>
          <w:i/>
          <w:iCs/>
        </w:rPr>
        <w:t xml:space="preserve">report delivery</w:t>
      </w:r>
      <w:r>
        <w:t xml:space="preserve">, not clinical charting — the reports are where the paper is. Third, the retention policy is a distinct economic decision from the printing policy, and the two should not be bundled: a health system can pay for retention in archivist labour or in building, and it should choose knowingly.</w:t>
      </w:r>
    </w:p>
    <w:p>
      <w:pPr>
        <w:spacing w:after="160" w:line="320"/>
      </w:pPr>
      <w:r>
        <w:t xml:space="preserve">Three studies would materially strengthen this line of work: a time-and-motion measurement of document handling, replacing the assumed 30 seconds with an observed distribution; a direct measurement of report length and of archival shelving density, replacing our two weakest assumptions; and a retrospective legibility audit of archived obstetric records at 10, 20, 30 and 40 years, which would test whether the long retention period actually delivers the legal protection it is designed to provide — the thermal-paper cardiotocograph trace being the obvious case where it may not.</w:t>
      </w:r>
    </w:p>
    <w:p>
      <w:pPr>
        <w:pBdr>
          <w:bottom w:val="single" w:color="CCCCCC" w:sz="6"/>
        </w:pBdr>
        <w:spacing w:after="200" w:before="200"/>
      </w:pP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2.44 million HUF for a 2,000-delivery department, and two-thirds of it toner rather than paper — but the 115,772 HUF of property per episode immobilised by holding the output for three to five decades, 8.97 billion HUF nationally. Both figures exclude archivist labour, so both are floors. Nor is money the largest item: printing and filing those documents takes an estimated 22.8 minutes per episode, 17.1 full-time equivalents nationally, and the archive occupies 5,751 m² of hospital floor — 320 consulting rooms' worth — withdrawn from clinical use. Double-sided printing releases 46% of the capital immediately and for nothing, though it saves only 13% of the recurrent cost and no staff time at all, because toner and handling are charged by the page and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7.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8. Bujold E. You have been hacked! Ann Fam Med 2023;21:85-7. doi:10.1370/afm.2906</w:t>
      </w:r>
    </w:p>
    <w:p>
      <w:pPr>
        <w:spacing w:after="100" w:line="300"/>
        <w:ind w:left="420" w:hanging="420"/>
      </w:pPr>
      <w:r>
        <w:t xml:space="preserve">9. Hungarian Central Statistical Office. Live births, total fertility rate. Budapest: KSH 2025. ⟦Add stadat table URL and accessed date.⟧</w:t>
      </w:r>
    </w:p>
    <w:p>
      <w:pPr>
        <w:spacing w:after="100" w:line="300"/>
        <w:ind w:left="420" w:hanging="420"/>
      </w:pPr>
      <w:r>
        <w:t xml:space="preserve">10.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11. Nemzeti Adó- és Vámhivatal. Property valuation for the archive site, 1 560 000 HUF/m2. ⟦Add valuation reference and date.⟧</w:t>
      </w:r>
    </w:p>
    <w:p>
      <w:pPr>
        <w:spacing w:after="100" w:line="300"/>
        <w:ind w:left="420" w:hanging="420"/>
      </w:pPr>
      <w:r>
        <w:t xml:space="preserve">12.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13. Tomberlin KE, Venditti R, Yao Y. Life cycle carbon footprint analysis of pulp and paper grades in the United States using production-line-based data and integration. BioResources 2020;15:3899-914. doi:10.15376/biores.15.2.3899-3914</w:t>
      </w:r>
    </w:p>
    <w:p>
      <w:pPr>
        <w:spacing w:after="160" w:line="320"/>
      </w:pPr>
      <w:r>
        <w:t xml:space="preserve">⟦</w:t>
      </w:r>
      <w:r>
        <w:rPr>
          <w:b/>
          <w:bCs/>
        </w:rPr>
        <w:t xml:space="preserve">References still to add:</w:t>
      </w:r>
      <w:r>
        <w:t xml:space="preserve"> the Hungarian decree governing the 30/50/70-year retention periods, and the national health technology assessment guideline specifying the 3.7% discount rate.⟧</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(n = 100). Dashed line, mean 131.3 pages. The distribution is symmetric and narrow (IQR 124–138),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episodes/year) the same scenarios correspond to 1.24, 0.68, 0.27 and 0.08 tonnes per year. Note that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table S1.</w:t>
      </w:r>
      <w:r>
        <w:t xml:space="preserve"> Full cost, staff-time and space breakdown by scenario, at departmental and national scale. Cited in Results.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2026-09-05T16:02:18.778Z</dcterms:created>
  <dcterms:modified xsi:type="dcterms:W3CDTF">2026-09-05T16:02:18.779Z</dcterms:modified>
</cp:coreProperties>
</file>

<file path=docProps/custom.xml><?xml version="1.0" encoding="utf-8"?>
<Properties xmlns="http://schemas.openxmlformats.org/officeDocument/2006/custom-properties" xmlns:vt="http://schemas.openxmlformats.org/officeDocument/2006/docPropsVTypes"/>
</file>