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312; main text 4,106 excluding abstract, tables, statements, references and figure legends.</w:t>
      </w:r>
    </w:p>
    <w:p>
      <w:pPr>
        <w:spacing w:after="160" w:line="320"/>
      </w:pPr>
      <w:r>
        <w:rPr>
          <w:b/>
          <w:bCs/>
        </w:rPr>
        <w:t xml:space="preserve">Tables</w:t>
      </w:r>
      <w:r>
        <w:t xml:space="preserve"> 3 in-text, 2 supplementary. </w:t>
      </w:r>
      <w:r>
        <w:rPr>
          <w:b/>
          <w:bCs/>
        </w:rPr>
        <w:t xml:space="preserve">Figures</w:t>
      </w:r>
      <w:r>
        <w:t xml:space="preserve"> 5, supplied as separate files. </w:t>
      </w:r>
      <w:r>
        <w:rPr>
          <w:b/>
          <w:bCs/>
        </w:rPr>
        <w:t xml:space="preserve">References</w:t>
      </w:r>
      <w:r>
        <w:t xml:space="preserve"> 17.</w:t>
      </w:r>
    </w:p>
    <w:p>
      <w:pPr>
        <w:spacing w:after="160" w:line="320"/>
      </w:pPr>
      <w:r>
        <w:rPr>
          <w:b/>
          <w:bCs/>
        </w:rPr>
        <w:t xml:space="preserve">Reporting guideline</w:t>
      </w:r>
      <w:r>
        <w:t xml:space="preserve"> STROBE (cross-sectional) for the observational component and CHEERS 2022 for the costing component. ⟦Upload both completed checklists as supplementary files.⟧</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five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archive floor area and staff handling time and costed at official unit prices, and five scenario arms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Consumables cost 1,220 HUF net per episode (94.5 million HUF/year nationally), 66.7% of it toner; printing and filing took an estimated 22.8 minutes per episode, 17.1 full-time equivalents nationally. At steady state the national archive occupied 5,751 m² and immobilised 8.97 billion HUF of property, an annualised opportunity cost of 332 million HUF — 3.5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alone removed 65.1% of sheets, 5.34 billion HUF and 10.5 FTE. Handling time is reported as displaced capacity rather than money,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decades.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so paper volume tracks the number of investigations ordered rather than the complexity of the pregnancy.</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annualised, that capital costs 332 million HUF a year against 94.5 million of consumables. Paper manufacture consumes 899 litres of water and emits 0.59 kg CO2e per episode.</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 it is worth 1.3 times duplex printing on capital and five times on recurrent cost.</w:t>
      </w:r>
    </w:p>
    <w:p>
      <w:pPr>
        <w:pStyle w:val="ListParagraph"/>
        <w:numPr>
          <w:ilvl w:val="0"/>
          <w:numId w:val="1"/>
        </w:numPr>
        <w:spacing w:after="100" w:line="320"/>
      </w:pPr>
      <w:r>
        <w:t xml:space="preserve">Beyond cost, paper records can be misread, misfiled, lost or degraded across a retention period measured in decades; published audits show that scanning paper does not remove these failure modes, so the case rests on capturing data electronically at source.</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is among the more complete: laboratory results, imaging reports, discharge summaries and prescriptions are uploaded centrally and are legally retrievable at the point of care. Yet in obstetric and antenatal care the paper has not gone away. Referrals are printed, carried and filed; results already in the exchange are printed again on arrival and filed a second time; and the dossier is retained for decades because obstetric liability horizons are long.</w:t>
      </w:r>
    </w:p>
    <w:p>
      <w:pPr>
        <w:spacing w:after="160" w:line="320"/>
      </w:pPr>
      <w:r>
        <w:t xml:space="preserve">The economic case for removing that paper is made often and measured rarely, typically beginning from an assumed number of pages per patient that is rarely traced to a count. This matters because the candidate answers differ by an order of magnitude in what they imply: a few dozen pages an episode makes paper a rounding error, and digitisation must then be justified on clinical grounds alone; well over a hundred, held under statutory retention for thirty to fifty years, makes it a capital question rather than a stationery one.</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has gone to the physical artefact: how many sheets a pathway produces, how many duplicate data that already exist electronically, and what happens to them across a retention period longer than most clinicians' careers. Bottom-up micro-costing is the established method for a countable resource with a known unit price [4,5]; it has simply not been applied here.</w:t>
      </w:r>
    </w:p>
    <w:p>
      <w:pPr>
        <w:spacing w:after="160" w:line="320"/>
      </w:pPr>
      <w:r>
        <w:t xml:space="preserve">We therefore asked three questions. How many printed pages does one obstetric care episode generate? How much is clinical record and how much a printed copy of an electronic result? And what does that volume cost, once statutory retention is priced as square metres of hospital building?</w:t>
      </w: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in ⟦setting: institution, unit, country⟧, reported following STROBE and the costing-method taxonomy of Špacírová </w:t>
      </w:r>
      <w:r>
        <w:rPr>
          <w:i/>
          <w:iCs/>
        </w:rPr>
        <w:t xml:space="preserve">et al</w:t>
      </w:r>
      <w:r>
        <w:t xml:space="preserve"> [4]. The unit of analysis is the </w:t>
      </w:r>
      <w:r>
        <w:rPr>
          <w:i/>
          <w:iCs/>
        </w:rPr>
        <w:t xml:space="preserve">care episode</w:t>
      </w:r>
      <w:r>
        <w:t xml:space="preserve">: one pregnancy followed to delivery, with all paper documents generated for it in the antenatal and delivery pathway. Full derivations are given in the supplementary methods.</w:t>
      </w:r>
    </w:p>
    <w:p>
      <w:pPr>
        <w:spacing w:after="160" w:line="320"/>
      </w:pPr>
      <w:r>
        <w:t xml:space="preserve">⟦</w:t>
      </w:r>
      <w:r>
        <w:rPr>
          <w:b/>
          <w:bCs/>
        </w:rPr>
        <w:t xml:space="preserve">Author to specify:</w:t>
      </w:r>
      <w:r>
        <w:t xml:space="preserve"> the sampling frame and period — whether the 100 episodes were consecutive, over what interval, and with what exclusions. This is the largest remaining gap in the Methods.⟧</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blood-group and microbiology referrals and reports, ultrasound reports, the antenatal care booklet, ward documentation and delivery documentation. A per-episode total computed independently of the workbook's own sum column agreed for all 100 episodes with zero discrepancies; because the report columns are derived, this verifies transcription and arithmetic rather than the independence of the counts.</w:t>
      </w:r>
    </w:p>
    <w:p>
      <w:pPr>
        <w:spacing w:after="160" w:line="320"/>
      </w:pPr>
      <w:r>
        <w:t xml:space="preserve">Three features of the source data constrain interpretation. Report pages for the three diagnostic families were </w:t>
      </w:r>
      <w:r>
        <w:rPr>
          <w:b/>
          <w:bCs/>
        </w:rPr>
        <w:t xml:space="preserve">derived</w:t>
      </w:r>
      <w:r>
        <w:t xml:space="preserve"> from referral counts at the institution's fixed convention of four report pages per referral, not counted independently, so they are deterministic functions of referral counts: their dispersion is inherited rather than observed, and the four-to-one ratio is a property of the data-generating convention, not an empirical finding of this study. Ultrasound reports have no paired referral and were counted at </w:t>
      </w:r>
      <w:r>
        <w:rPr>
          <w:b/>
          <w:bCs/>
        </w:rPr>
        <w:t xml:space="preserve">one page per report</w:t>
      </w:r>
      <w:r>
        <w:t xml:space="preserve">, which fixes the number of ultrasound documents entering the handling-time calculation. The antenatal booklet is recorded as one unit per episode; being a bound, pre-printed, double-sided 15-page item, one unit was expanded to 15 pages on 8 sheets and treated as duplex in every scenario, since a printing policy cannot change how it is manufactured.</w:t>
      </w:r>
    </w:p>
    <w:p>
      <w:pPr>
        <w:pStyle w:val="Heading2"/>
        <w:spacing w:after="140" w:before="280"/>
      </w:pPr>
      <w:r>
        <w:rPr>
          <w:b/>
          <w:bCs/>
          <w:sz w:val="22"/>
          <w:szCs w:val="22"/>
        </w:rPr>
        <w:t xml:space="preserve">Physical conversion</w:t>
      </w:r>
    </w:p>
    <w:p>
      <w:pPr>
        <w:spacing w:after="160" w:line="320"/>
      </w:pPr>
      <w:r>
        <w:t xml:space="preserve">Page counts were converted to mass, shelf length and floor area at 4.99 g per A4 sheet, 10,000 filed sheets per linear metre of shelving and 5.5 linear metres per m² of floor inclusive of aisles. The last two are conventions rather than measurements and are carried through sensitivity analysis; derivations are in the supplementary methods and every constant in table S1.</w:t>
      </w:r>
    </w:p>
    <w:p>
      <w:pPr>
        <w:pStyle w:val="Heading2"/>
        <w:spacing w:after="140" w:before="280"/>
      </w:pPr>
      <w:r>
        <w:rPr>
          <w:b/>
          <w:bCs/>
          <w:sz w:val="22"/>
          <w:szCs w:val="22"/>
        </w:rPr>
        <w:t xml:space="preserve">Costing</w:t>
      </w:r>
    </w:p>
    <w:p>
      <w:pPr>
        <w:spacing w:after="160" w:line="320"/>
      </w:pPr>
      <w:r>
        <w:t xml:space="preserve">Costs are 2024 Hungarian forint (HUF), net of VAT, with gross figures at the 27% standard rate. Unit prices were paper at 1,445 HUF net per 500-sheet ream, or 2.89 HUF per sheet, under the centralised public procurement framework [6]; printing at 7 HUF per printed page, covering toner, device amortisation and service; archive floor at 1,560,000 HUF/m², the tax authority's valuation for the site [7], reported as immobilised capital rather than rent; and 70 HUF for the purchased antenatal booklet, which carries neither printing nor paper charge. Because a stock and an annual flow are not directly comparable, the property value is also expressed as an annualised opportunity cost at the 3.7% discount rate. Table S1 lists every parameter with its source and range.</w:t>
      </w:r>
    </w:p>
    <w:p>
      <w:pPr>
        <w:spacing w:after="160" w:line="320"/>
      </w:pPr>
      <w:r>
        <w:t xml:space="preserve">Because printing is charged per page and paper per sheet, the model keeps four quantities apart: </w:t>
      </w:r>
      <w:r>
        <w:rPr>
          <w:b/>
          <w:bCs/>
        </w:rPr>
        <w:t xml:space="preserve">printed pages</w:t>
      </w:r>
      <w:r>
        <w:t xml:space="preserve"> drive toner, </w:t>
      </w:r>
      <w:r>
        <w:rPr>
          <w:b/>
          <w:bCs/>
        </w:rPr>
        <w:t xml:space="preserve">physical sheets</w:t>
      </w:r>
      <w:r>
        <w:t xml:space="preserve"> drive paper, </w:t>
      </w:r>
      <w:r>
        <w:rPr>
          <w:b/>
          <w:bCs/>
        </w:rPr>
        <w:t xml:space="preserve">archived sheets</w:t>
      </w:r>
      <w:r>
        <w:t xml:space="preserve"> drive storage, and </w:t>
      </w:r>
      <w:r>
        <w:rPr>
          <w:b/>
          <w:bCs/>
        </w:rPr>
        <w:t xml:space="preserve">documents</w:t>
      </w:r>
      <w:r>
        <w:t xml:space="preserve"> drive staff handling time. Duplex printing changes the second and third but neither the first nor the fourth, an asymmetry that proves decisive.</w:t>
      </w:r>
    </w:p>
    <w:p>
      <w:pPr>
        <w:spacing w:after="160" w:line="320"/>
      </w:pPr>
      <w:r>
        <w:t xml:space="preserve">Staff handling time — one document printed, collected, checked and filed for each referral and each diagnostic report, at a deliberately conservative 30 seconds — is reported in hours and full-time equivalents (1,720 h/FTE) and </w:t>
      </w:r>
      <w:r>
        <w:rPr>
          <w:b/>
          <w:bCs/>
        </w:rPr>
        <w:t xml:space="preserve">deliberately not monetised</w:t>
      </w:r>
      <w:r>
        <w:t xml:space="preserve">. Handling is not a staffed post but is absorbed a few seconds at a time into existing clinical and administrative duties, so no wage rate would represent it honestly and attaching one would imply a budget line that does not exist; the FTE figure is </w:t>
      </w:r>
      <w:r>
        <w:rPr>
          <w:i/>
          <w:iCs/>
        </w:rPr>
        <w:t xml:space="preserve">displaced capacity</w:t>
      </w:r>
      <w:r>
        <w:t xml:space="preserve">, not posts that could be cut. Ward and delivery documentation are excluded, being written during care rather than printed on demand. Both omissions are one-directional, so every monetary total reported here is a floor.</w:t>
      </w:r>
    </w:p>
    <w:p>
      <w:pPr>
        <w:spacing w:after="160" w:line="320"/>
      </w:pPr>
      <w:r>
        <w:t xml:space="preserve">Paper mass was converted to greenhouse-gas emissions at 950 kg CO2e per tonne [8,9] and to consumptive green plus blue water at 300 to 2600 m³ per tonne, whose midpoint is the point estimate [10]; both are cradle to gate and exclude printing energy, transport, archive conditioning and disposal. Archive floor area is also expressed at 18 m² per antenatal consulting room, since it is withdrawn from clinical use rather than neutral space.</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50 years for inpatient ward and delivery documentation. At steady state the archive holds each type's annual volume multiplied by its retention period. This stock, not the annual flow, determines the floor area a health system must own, and it is what the reported property value prices. The antenatal booklet is included in the stock on the assumption that an institutional copy is retained. ⟦Author to confirm: the booklet is patient-held in Hungarian practice. If no copy is archived, its 8 sheets per episode leave the stock, the national holding falls from 5,751 to 5,413 m² and from 8.97 to 8.44 billion HUF, and the paperless pathway's residual archive falls to zero.⟧</w:t>
      </w:r>
    </w:p>
    <w:p>
      <w:pPr>
        <w:pStyle w:val="Heading2"/>
        <w:spacing w:after="140" w:before="280"/>
      </w:pPr>
      <w:r>
        <w:rPr>
          <w:b/>
          <w:bCs/>
          <w:sz w:val="22"/>
          <w:szCs w:val="22"/>
        </w:rPr>
        <w:t xml:space="preserve">Scenarios and analysis</w:t>
      </w:r>
    </w:p>
    <w:p>
      <w:pPr>
        <w:spacing w:after="160" w:line="320"/>
      </w:pPr>
      <w:r>
        <w:t xml:space="preserve">Five arms were modelled. </w:t>
      </w:r>
      <w:r>
        <w:rPr>
          <w:b/>
          <w:bCs/>
        </w:rPr>
        <w:t xml:space="preserve">S0, current practice</w:t>
      </w:r>
      <w:r>
        <w:t xml:space="preserve">: single-sided printing of all self-printed output. </w:t>
      </w:r>
      <w:r>
        <w:rPr>
          <w:b/>
          <w:bCs/>
        </w:rPr>
        <w:t xml:space="preserve">S1, duplex printing</w:t>
      </w:r>
      <w:r>
        <w:t xml:space="preserve">: double-sided throughout, requiring no capital investment. </w:t>
      </w:r>
      <w:r>
        <w:rPr>
          <w:b/>
          <w:bCs/>
        </w:rPr>
        <w:t xml:space="preserve">S2a, electronic result delivery</w:t>
      </w:r>
      <w:r>
        <w:t xml:space="preserve">: diagnostic reports retrieved from the national exchange rather than printed, the remaining output still single-sided. </w:t>
      </w:r>
      <w:r>
        <w:rPr>
          <w:b/>
          <w:bCs/>
        </w:rPr>
        <w:t xml:space="preserve">S2, electronic result delivery with duplex</w:t>
      </w:r>
      <w:r>
        <w:t xml:space="preserve">: the same, printed double-sided. </w:t>
      </w:r>
      <w:r>
        <w:rPr>
          <w:b/>
          <w:bCs/>
        </w:rPr>
        <w:t xml:space="preserve">S3, paperless pathway</w:t>
      </w:r>
      <w:r>
        <w:t xml:space="preserve">: only the antenatal booklet remains on paper. S2 combines two interventions, so only S2a is a like-for-like comparator for S1, and the two are reported separately for that reason. National extrapolation uses live births as a proxy for care episodes, which slightly overstates deliveries because of multiple births.</w:t>
      </w:r>
    </w:p>
    <w:p>
      <w:pPr>
        <w:spacing w:after="160" w:line="320"/>
      </w:pPr>
      <w:r>
        <w:t xml:space="preserve">Descriptive statistics are mean (SD) with 95% confidence intervals from Student's </w:t>
      </w:r>
      <w:r>
        <w:rPr>
          <w:i/>
          <w:iCs/>
        </w:rPr>
        <w:t xml:space="preserve">t</w:t>
      </w:r>
      <w:r>
        <w:t xml:space="preserve">, corroborated by a 10,000-replicate bootstrap, and median (IQR). Scenario results are deterministic functions of the observed mean and the stated parameters, so uncertainty is expressed as one-way sensitivity analysis, which varies each parameter alone and therefore does not bound the joint uncertainty. A 10-year discounted spend is given in table S2 at the 3.7% rate in national health technology assessment guidance, discounted from the start of each year. Analyses used Python 3; the script and parameter file are provided, so every number can be re-derived.</w:t>
      </w:r>
    </w:p>
    <w:p>
      <w:pPr>
        <w:pStyle w:val="Heading2"/>
        <w:spacing w:after="140" w:before="280"/>
      </w:pPr>
      <w:r>
        <w:rPr>
          <w:b/>
          <w:bCs/>
          <w:sz w:val="22"/>
          <w:szCs w:val="22"/>
        </w:rPr>
        <w:t xml:space="preserve">Ethics</w:t>
      </w:r>
    </w:p>
    <w:p>
      <w:pPr>
        <w:spacing w:after="160" w:line="320"/>
      </w:pPr>
      <w:r>
        <w:t xml:space="preserve">The analysed dataset contains document counts only, with no clinical, demographic or identifying patient information; episodes are labelled by sequence number. Generating it required access to source clinical records. ⟦Author to insert: who accessed the source records and under what approval, and the institutional review board reference and determination or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identical), occupying 124.3 physical sheets. The median was 130 pages (IQR 124–138) and the range 106–154 (Figure 2). The distribution is symmetric and tight — the interquartile range is 0.11 of the median — so documentation volume behaves as a near-fixed cost of the pathway rather than a function of case complexity. Table 1 gives the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173"/>
            <w:shd w:fill="F2F2F2" w:val="clear"/>
            <w:tcMar>
              <w:top w:type="dxa" w:w="60"/>
              <w:left w:type="dxa" w:w="80"/>
              <w:bottom w:type="dxa" w:w="60"/>
              <w:right w:type="dxa" w:w="80"/>
            </w:tcMar>
          </w:tcPr>
          <w:p>
            <w:pPr>
              <w:spacing w:after="0" w:line="240"/>
            </w:pPr>
            <w:r>
              <w:rPr>
                <w:b/>
                <w:bCs/>
                <w:sz w:val="18"/>
                <w:szCs w:val="18"/>
              </w:rPr>
              <w:t xml:space="preserve">Role</w:t>
            </w:r>
          </w:p>
        </w:tc>
        <w:tc>
          <w:tcPr>
            <w:tcW w:type="dxa" w:w="1173"/>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173"/>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173"/>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173"/>
            <w:shd w:fill="F2F2F2" w:val="clear"/>
            <w:tcMar>
              <w:top w:type="dxa" w:w="60"/>
              <w:left w:type="dxa" w:w="80"/>
              <w:bottom w:type="dxa" w:w="60"/>
              <w:right w:type="dxa" w:w="80"/>
            </w:tcMar>
          </w:tcPr>
          <w:p>
            <w:pPr>
              <w:spacing w:after="0" w:line="240"/>
            </w:pPr>
            <w:r>
              <w:rPr>
                <w:b/>
                <w:bCs/>
                <w:sz w:val="18"/>
                <w:szCs w:val="18"/>
              </w:rPr>
              <w:t xml:space="preserve">Range</w:t>
            </w:r>
          </w:p>
        </w:tc>
        <w:tc>
          <w:tcPr>
            <w:tcW w:type="dxa" w:w="1175"/>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6.87 (1.35)</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27.48 (5.38)</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7.11 (1.43)</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28.44 (5.74)</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3.67 (1.04)</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2–5</w:t>
            </w:r>
          </w:p>
        </w:tc>
        <w:tc>
          <w:tcPr>
            <w:tcW w:type="dxa" w:w="1175"/>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14.68 (4.18)</w:t>
            </w:r>
          </w:p>
        </w:tc>
        <w:tc>
          <w:tcPr>
            <w:tcW w:type="dxa" w:w="1173"/>
            <w:tcMar>
              <w:top w:type="dxa" w:w="60"/>
              <w:left w:type="dxa" w:w="80"/>
              <w:bottom w:type="dxa" w:w="60"/>
              <w:right w:type="dxa" w:w="80"/>
            </w:tcMar>
          </w:tcPr>
          <w:p>
            <w:pPr>
              <w:spacing w:after="0" w:line="240"/>
            </w:pPr>
            <w:r>
              <w:rPr>
                <w:b w:val="false"/>
                <w:bCs w:val="false"/>
                <w:sz w:val="18"/>
                <w:szCs w:val="18"/>
              </w:rPr>
              <w:t xml:space="preserve">16 (12–20)</w:t>
            </w:r>
          </w:p>
        </w:tc>
        <w:tc>
          <w:tcPr>
            <w:tcW w:type="dxa" w:w="1173"/>
            <w:tcMar>
              <w:top w:type="dxa" w:w="60"/>
              <w:left w:type="dxa" w:w="80"/>
              <w:bottom w:type="dxa" w:w="60"/>
              <w:right w:type="dxa" w:w="80"/>
            </w:tcMar>
          </w:tcPr>
          <w:p>
            <w:pPr>
              <w:spacing w:after="0" w:line="240"/>
            </w:pPr>
            <w:r>
              <w:rPr>
                <w:b w:val="false"/>
                <w:bCs w:val="false"/>
                <w:sz w:val="18"/>
                <w:szCs w:val="18"/>
              </w:rPr>
              <w:t xml:space="preserve">8–20</w:t>
            </w:r>
          </w:p>
        </w:tc>
        <w:tc>
          <w:tcPr>
            <w:tcW w:type="dxa" w:w="1175"/>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10.34 (2.58)</w:t>
            </w:r>
          </w:p>
        </w:tc>
        <w:tc>
          <w:tcPr>
            <w:tcW w:type="dxa" w:w="1173"/>
            <w:tcMar>
              <w:top w:type="dxa" w:w="60"/>
              <w:left w:type="dxa" w:w="80"/>
              <w:bottom w:type="dxa" w:w="60"/>
              <w:right w:type="dxa" w:w="80"/>
            </w:tcMar>
          </w:tcPr>
          <w:p>
            <w:pPr>
              <w:spacing w:after="0" w:line="240"/>
            </w:pPr>
            <w:r>
              <w:rPr>
                <w:b w:val="false"/>
                <w:bCs w:val="false"/>
                <w:sz w:val="18"/>
                <w:szCs w:val="18"/>
              </w:rPr>
              <w:t xml:space="preserve">11 (8–12)</w:t>
            </w:r>
          </w:p>
        </w:tc>
        <w:tc>
          <w:tcPr>
            <w:tcW w:type="dxa" w:w="1173"/>
            <w:tcMar>
              <w:top w:type="dxa" w:w="60"/>
              <w:left w:type="dxa" w:w="80"/>
              <w:bottom w:type="dxa" w:w="60"/>
              <w:right w:type="dxa" w:w="80"/>
            </w:tcMar>
          </w:tcPr>
          <w:p>
            <w:pPr>
              <w:spacing w:after="0" w:line="240"/>
            </w:pPr>
            <w:r>
              <w:rPr>
                <w:b w:val="false"/>
                <w:bCs w:val="false"/>
                <w:sz w:val="18"/>
                <w:szCs w:val="18"/>
              </w:rPr>
              <w:t xml:space="preserve">6–14</w:t>
            </w:r>
          </w:p>
        </w:tc>
        <w:tc>
          <w:tcPr>
            <w:tcW w:type="dxa" w:w="1175"/>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15.00 (0.00)</w:t>
            </w:r>
          </w:p>
        </w:tc>
        <w:tc>
          <w:tcPr>
            <w:tcW w:type="dxa" w:w="1173"/>
            <w:tcMar>
              <w:top w:type="dxa" w:w="60"/>
              <w:left w:type="dxa" w:w="80"/>
              <w:bottom w:type="dxa" w:w="60"/>
              <w:right w:type="dxa" w:w="80"/>
            </w:tcMar>
          </w:tcPr>
          <w:p>
            <w:pPr>
              <w:spacing w:after="0" w:line="240"/>
            </w:pPr>
            <w:r>
              <w:rPr>
                <w:b w:val="false"/>
                <w:bCs w:val="false"/>
                <w:sz w:val="18"/>
                <w:szCs w:val="18"/>
              </w:rPr>
              <w:t xml:space="preserve">15 (15–15)</w:t>
            </w:r>
          </w:p>
        </w:tc>
        <w:tc>
          <w:tcPr>
            <w:tcW w:type="dxa" w:w="1173"/>
            <w:tcMar>
              <w:top w:type="dxa" w:w="60"/>
              <w:left w:type="dxa" w:w="80"/>
              <w:bottom w:type="dxa" w:w="60"/>
              <w:right w:type="dxa" w:w="80"/>
            </w:tcMar>
          </w:tcPr>
          <w:p>
            <w:pPr>
              <w:spacing w:after="0" w:line="240"/>
            </w:pPr>
            <w:r>
              <w:rPr>
                <w:b w:val="false"/>
                <w:bCs w:val="false"/>
                <w:sz w:val="18"/>
                <w:szCs w:val="18"/>
              </w:rPr>
              <w:t xml:space="preserve">15–15</w:t>
            </w:r>
          </w:p>
        </w:tc>
        <w:tc>
          <w:tcPr>
            <w:tcW w:type="dxa" w:w="1175"/>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3.97 (0.82)</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3–5</w:t>
            </w:r>
          </w:p>
        </w:tc>
        <w:tc>
          <w:tcPr>
            <w:tcW w:type="dxa" w:w="1175"/>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13.71 (3.16)</w:t>
            </w:r>
          </w:p>
        </w:tc>
        <w:tc>
          <w:tcPr>
            <w:tcW w:type="dxa" w:w="1173"/>
            <w:tcMar>
              <w:top w:type="dxa" w:w="60"/>
              <w:left w:type="dxa" w:w="80"/>
              <w:bottom w:type="dxa" w:w="60"/>
              <w:right w:type="dxa" w:w="80"/>
            </w:tcMar>
          </w:tcPr>
          <w:p>
            <w:pPr>
              <w:spacing w:after="0" w:line="240"/>
            </w:pPr>
            <w:r>
              <w:rPr>
                <w:b w:val="false"/>
                <w:bCs w:val="false"/>
                <w:sz w:val="18"/>
                <w:szCs w:val="18"/>
              </w:rPr>
              <w:t xml:space="preserve">14 (11–17)</w:t>
            </w:r>
          </w:p>
        </w:tc>
        <w:tc>
          <w:tcPr>
            <w:tcW w:type="dxa" w:w="1173"/>
            <w:tcMar>
              <w:top w:type="dxa" w:w="60"/>
              <w:left w:type="dxa" w:w="80"/>
              <w:bottom w:type="dxa" w:w="60"/>
              <w:right w:type="dxa" w:w="80"/>
            </w:tcMar>
          </w:tcPr>
          <w:p>
            <w:pPr>
              <w:spacing w:after="0" w:line="240"/>
            </w:pPr>
            <w:r>
              <w:rPr>
                <w:b w:val="false"/>
                <w:bCs w:val="false"/>
                <w:sz w:val="18"/>
                <w:szCs w:val="18"/>
              </w:rPr>
              <w:t xml:space="preserve">9–18</w:t>
            </w:r>
          </w:p>
        </w:tc>
        <w:tc>
          <w:tcPr>
            <w:tcW w:type="dxa" w:w="1175"/>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All documents</w:t>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131.27 (10.50)</w:t>
            </w:r>
          </w:p>
        </w:tc>
        <w:tc>
          <w:tcPr>
            <w:tcW w:type="dxa" w:w="1173"/>
            <w:tcMar>
              <w:top w:type="dxa" w:w="60"/>
              <w:left w:type="dxa" w:w="80"/>
              <w:bottom w:type="dxa" w:w="60"/>
              <w:right w:type="dxa" w:w="80"/>
            </w:tcMar>
          </w:tcPr>
          <w:p>
            <w:pPr>
              <w:spacing w:after="0" w:line="240"/>
            </w:pPr>
            <w:r>
              <w:rPr>
                <w:b w:val="false"/>
                <w:bCs w:val="false"/>
                <w:sz w:val="18"/>
                <w:szCs w:val="18"/>
              </w:rPr>
              <w:t xml:space="preserve">130 (124–138)</w:t>
            </w:r>
          </w:p>
        </w:tc>
        <w:tc>
          <w:tcPr>
            <w:tcW w:type="dxa" w:w="1173"/>
            <w:tcMar>
              <w:top w:type="dxa" w:w="60"/>
              <w:left w:type="dxa" w:w="80"/>
              <w:bottom w:type="dxa" w:w="60"/>
              <w:right w:type="dxa" w:w="80"/>
            </w:tcMar>
          </w:tcPr>
          <w:p>
            <w:pPr>
              <w:spacing w:after="0" w:line="240"/>
            </w:pPr>
            <w:r>
              <w:rPr>
                <w:b w:val="false"/>
                <w:bCs w:val="false"/>
                <w:sz w:val="18"/>
                <w:szCs w:val="18"/>
              </w:rPr>
              <w:t xml:space="preserve">106–154</w:t>
            </w:r>
          </w:p>
        </w:tc>
        <w:tc>
          <w:tcPr>
            <w:tcW w:type="dxa" w:w="1175"/>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and referrals for a further 13.4% (17.7 pages). Clinical records account for 24.9% (32.7 pages), of which 15 are the pre-printed booklet, a manufactured item rather than generated output. Excluding it, seven in ten of the pages the pathway produces are diagnostic reports and less than a sixth is clinical narrative.</w:t>
      </w:r>
    </w:p>
    <w:p>
      <w:pPr>
        <w:spacing w:after="160" w:line="320"/>
      </w:pPr>
      <w:r>
        <w:t xml:space="preserve">The mechanism is a fixed amplification. Under the institution's reporting convention each referral yields four report pages, so </w:t>
      </w:r>
      <w:r>
        <w:rPr>
          <w:b/>
          <w:bCs/>
        </w:rPr>
        <w:t xml:space="preserve">one referral costs five printed pages</w:t>
      </w:r>
      <w:r>
        <w:t xml:space="preserve">, and the number of investigations ordered rather than the complexity of the pregnancy drives paper volume. That convention was applied to the source data rather than observed independently, so the ratio is a feature of local practice we inherited, not a finding of ours. Blood-group and laboratory investigations dominate at 35.6 and 34.4 pages per episode (Figure 1).</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a scale-invariant figure that transfers to any unit that knows its delivery volume. Its composition is itself informative: </w:t>
      </w:r>
      <w:r>
        <w:rPr>
          <w:b/>
          <w:bCs/>
        </w:rPr>
        <w:t xml:space="preserve">66.7% is toner and device cost, 27.5% paper and 5.7% the purchased booklet</w:t>
      </w:r>
      <w:r>
        <w:t xml:space="preserve">. An institution that counts only its paper invoice sees just over a quarter of what its documentation costs to produce.</w:t>
      </w:r>
    </w:p>
    <w:p>
      <w:pPr>
        <w:spacing w:after="160" w:line="320"/>
      </w:pPr>
      <w:r>
        <w:t xml:space="preserve">Nationally (77,500 live births in 2024 [11]), current practice prints 9.01 million pages onto 9.63 million sheets, consumes 48.1 tonnes of paper, costs </w:t>
      </w:r>
      <w:r>
        <w:rPr>
          <w:b/>
          <w:bCs/>
        </w:rPr>
        <w:t xml:space="preserve">94.5 million HUF net</w:t>
      </w:r>
      <w:r>
        <w:t xml:space="preserve"> a year (120.1 million gross; 76.3 to 121.9 million across the unit-price ranges, a spread driven almost entirely by the price per printed page) and adds 963 linear metres of shelving. Departmentally the figures are 2.44 million HUF and 25 linear metres. Table 2 gives every arm at both scales; table S2 gives the full breakdown.</w:t>
      </w:r>
    </w:p>
    <w:p>
      <w:pPr>
        <w:spacing w:after="160" w:line="320"/>
      </w:pPr>
      <w:r>
        <w:rPr>
          <w:b/>
          <w:bCs/>
        </w:rPr>
        <w:t xml:space="preserve">Table 2</w:t>
      </w:r>
      <w:r>
        <w:t xml:space="preserve"> Physical, cost, staff-time, space and environmental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880"/>
        <w:gridCol w:w="880"/>
        <w:gridCol w:w="880"/>
        <w:gridCol w:w="880"/>
        <w:gridCol w:w="880"/>
        <w:gridCol w:w="880"/>
        <w:gridCol w:w="880"/>
        <w:gridCol w:w="880"/>
      </w:tblGrid>
      <w:tr>
        <w:trPr>
          <w:tblHeader/>
        </w:trPr>
        <w:tc>
          <w:tcPr>
            <w:tcW w:type="dxa" w:w="1986"/>
            <w:shd w:fill="F2F2F2" w:val="clear"/>
            <w:tcMar>
              <w:top w:type="dxa" w:w="60"/>
              <w:left w:type="dxa" w:w="80"/>
              <w:bottom w:type="dxa" w:w="60"/>
              <w:right w:type="dxa" w:w="80"/>
            </w:tcMar>
          </w:tcPr>
          <w:p>
            <w:pPr>
              <w:spacing w:after="0" w:line="240"/>
            </w:pPr>
            <w:r>
              <w:rPr>
                <w:b/>
                <w:bCs/>
                <w:sz w:val="16"/>
                <w:szCs w:val="16"/>
              </w:rPr>
              <w:t xml:space="preserve">Scenario</w:t>
            </w:r>
          </w:p>
        </w:tc>
        <w:tc>
          <w:tcPr>
            <w:tcW w:type="dxa" w:w="880"/>
            <w:shd w:fill="F2F2F2" w:val="clear"/>
            <w:tcMar>
              <w:top w:type="dxa" w:w="60"/>
              <w:left w:type="dxa" w:w="80"/>
              <w:bottom w:type="dxa" w:w="60"/>
              <w:right w:type="dxa" w:w="80"/>
            </w:tcMar>
          </w:tcPr>
          <w:p>
            <w:pPr>
              <w:spacing w:after="0" w:line="240"/>
            </w:pPr>
            <w:r>
              <w:rPr>
                <w:b/>
                <w:bCs/>
                <w:sz w:val="16"/>
                <w:szCs w:val="16"/>
              </w:rPr>
              <w:t xml:space="preserve">Pages printed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Sheets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Paper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CO2e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Consumables (HUF/y, net)</w:t>
            </w:r>
          </w:p>
        </w:tc>
        <w:tc>
          <w:tcPr>
            <w:tcW w:type="dxa" w:w="880"/>
            <w:shd w:fill="F2F2F2" w:val="clear"/>
            <w:tcMar>
              <w:top w:type="dxa" w:w="60"/>
              <w:left w:type="dxa" w:w="80"/>
              <w:bottom w:type="dxa" w:w="60"/>
              <w:right w:type="dxa" w:w="80"/>
            </w:tcMar>
          </w:tcPr>
          <w:p>
            <w:pPr>
              <w:spacing w:after="0" w:line="240"/>
            </w:pPr>
            <w:r>
              <w:rPr>
                <w:b/>
                <w:bCs/>
                <w:sz w:val="16"/>
                <w:szCs w:val="16"/>
              </w:rPr>
              <w:t xml:space="preserve">Handling (FTE)</w:t>
            </w:r>
          </w:p>
        </w:tc>
        <w:tc>
          <w:tcPr>
            <w:tcW w:type="dxa" w:w="880"/>
            <w:shd w:fill="F2F2F2" w:val="clear"/>
            <w:tcMar>
              <w:top w:type="dxa" w:w="60"/>
              <w:left w:type="dxa" w:w="80"/>
              <w:bottom w:type="dxa" w:w="60"/>
              <w:right w:type="dxa" w:w="80"/>
            </w:tcMar>
          </w:tcPr>
          <w:p>
            <w:pPr>
              <w:spacing w:after="0" w:line="240"/>
            </w:pPr>
            <w:r>
              <w:rPr>
                <w:b/>
                <w:bCs/>
                <w:sz w:val="16"/>
                <w:szCs w:val="16"/>
              </w:rPr>
              <w:t xml:space="preserve">Archive floor (m²)</w:t>
            </w:r>
          </w:p>
        </w:tc>
        <w:tc>
          <w:tcPr>
            <w:tcW w:type="dxa" w:w="880"/>
            <w:shd w:fill="F2F2F2" w:val="clear"/>
            <w:tcMar>
              <w:top w:type="dxa" w:w="60"/>
              <w:left w:type="dxa" w:w="80"/>
              <w:bottom w:type="dxa" w:w="60"/>
              <w:right w:type="dxa" w:w="80"/>
            </w:tcMar>
          </w:tcPr>
          <w:p>
            <w:pPr>
              <w:spacing w:after="0" w:line="240"/>
            </w:pPr>
            <w:r>
              <w:rPr>
                <w:b/>
                <w:bCs/>
                <w:sz w:val="16"/>
                <w:szCs w:val="16"/>
              </w:rPr>
              <w:t xml:space="preserve">Property value (HUF)</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University department, 2,000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1.24</w:t>
            </w:r>
          </w:p>
        </w:tc>
        <w:tc>
          <w:tcPr>
            <w:tcW w:type="dxa" w:w="880"/>
            <w:tcMar>
              <w:top w:type="dxa" w:w="60"/>
              <w:left w:type="dxa" w:w="80"/>
              <w:bottom w:type="dxa" w:w="60"/>
              <w:right w:type="dxa" w:w="80"/>
            </w:tcMar>
          </w:tcPr>
          <w:p>
            <w:pPr>
              <w:spacing w:after="0" w:line="240"/>
            </w:pPr>
            <w:r>
              <w:rPr>
                <w:b w:val="false"/>
                <w:bCs w:val="false"/>
                <w:sz w:val="16"/>
                <w:szCs w:val="16"/>
              </w:rPr>
              <w:t xml:space="preserve">1.2</w:t>
            </w:r>
          </w:p>
        </w:tc>
        <w:tc>
          <w:tcPr>
            <w:tcW w:type="dxa" w:w="880"/>
            <w:tcMar>
              <w:top w:type="dxa" w:w="60"/>
              <w:left w:type="dxa" w:w="80"/>
              <w:bottom w:type="dxa" w:w="60"/>
              <w:right w:type="dxa" w:w="80"/>
            </w:tcMar>
          </w:tcPr>
          <w:p>
            <w:pPr>
              <w:spacing w:after="0" w:line="240"/>
            </w:pPr>
            <w:r>
              <w:rPr>
                <w:b w:val="false"/>
                <w:bCs w:val="false"/>
                <w:sz w:val="16"/>
                <w:szCs w:val="16"/>
              </w:rPr>
              <w:t xml:space="preserve">2.44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148</w:t>
            </w:r>
          </w:p>
        </w:tc>
        <w:tc>
          <w:tcPr>
            <w:tcW w:type="dxa" w:w="880"/>
            <w:tcMar>
              <w:top w:type="dxa" w:w="60"/>
              <w:left w:type="dxa" w:w="80"/>
              <w:bottom w:type="dxa" w:w="60"/>
              <w:right w:type="dxa" w:w="80"/>
            </w:tcMar>
          </w:tcPr>
          <w:p>
            <w:pPr>
              <w:spacing w:after="0" w:line="240"/>
            </w:pPr>
            <w:r>
              <w:rPr>
                <w:b w:val="false"/>
                <w:bCs w:val="false"/>
                <w:sz w:val="16"/>
                <w:szCs w:val="16"/>
              </w:rPr>
              <w:t xml:space="preserve">231.54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0.68</w:t>
            </w:r>
          </w:p>
        </w:tc>
        <w:tc>
          <w:tcPr>
            <w:tcW w:type="dxa" w:w="880"/>
            <w:tcMar>
              <w:top w:type="dxa" w:w="60"/>
              <w:left w:type="dxa" w:w="80"/>
              <w:bottom w:type="dxa" w:w="60"/>
              <w:right w:type="dxa" w:w="80"/>
            </w:tcMar>
          </w:tcPr>
          <w:p>
            <w:pPr>
              <w:spacing w:after="0" w:line="240"/>
            </w:pPr>
            <w:r>
              <w:rPr>
                <w:b w:val="false"/>
                <w:bCs w:val="false"/>
                <w:sz w:val="16"/>
                <w:szCs w:val="16"/>
              </w:rPr>
              <w:t xml:space="preserve">0.6</w:t>
            </w:r>
          </w:p>
        </w:tc>
        <w:tc>
          <w:tcPr>
            <w:tcW w:type="dxa" w:w="880"/>
            <w:tcMar>
              <w:top w:type="dxa" w:w="60"/>
              <w:left w:type="dxa" w:w="80"/>
              <w:bottom w:type="dxa" w:w="60"/>
              <w:right w:type="dxa" w:w="80"/>
            </w:tcMar>
          </w:tcPr>
          <w:p>
            <w:pPr>
              <w:spacing w:after="0" w:line="240"/>
            </w:pPr>
            <w:r>
              <w:rPr>
                <w:b w:val="false"/>
                <w:bCs w:val="false"/>
                <w:sz w:val="16"/>
                <w:szCs w:val="16"/>
              </w:rPr>
              <w:t xml:space="preserve">2.11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81</w:t>
            </w:r>
          </w:p>
        </w:tc>
        <w:tc>
          <w:tcPr>
            <w:tcW w:type="dxa" w:w="880"/>
            <w:tcMar>
              <w:top w:type="dxa" w:w="60"/>
              <w:left w:type="dxa" w:w="80"/>
              <w:bottom w:type="dxa" w:w="60"/>
              <w:right w:type="dxa" w:w="80"/>
            </w:tcMar>
          </w:tcPr>
          <w:p>
            <w:pPr>
              <w:spacing w:after="0" w:line="240"/>
            </w:pPr>
            <w:r>
              <w:rPr>
                <w:b w:val="false"/>
                <w:bCs w:val="false"/>
                <w:sz w:val="16"/>
                <w:szCs w:val="16"/>
              </w:rPr>
              <w:t xml:space="preserve">126.00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43.3</w:t>
            </w:r>
          </w:p>
        </w:tc>
        <w:tc>
          <w:tcPr>
            <w:tcW w:type="dxa" w:w="880"/>
            <w:tcMar>
              <w:top w:type="dxa" w:w="60"/>
              <w:left w:type="dxa" w:w="80"/>
              <w:bottom w:type="dxa" w:w="60"/>
              <w:right w:type="dxa" w:w="80"/>
            </w:tcMar>
          </w:tcPr>
          <w:p>
            <w:pPr>
              <w:spacing w:after="0" w:line="240"/>
            </w:pPr>
            <w:r>
              <w:rPr>
                <w:b w:val="false"/>
                <w:bCs w:val="false"/>
                <w:sz w:val="16"/>
                <w:szCs w:val="16"/>
              </w:rPr>
              <w:t xml:space="preserve">0.43</w:t>
            </w:r>
          </w:p>
        </w:tc>
        <w:tc>
          <w:tcPr>
            <w:tcW w:type="dxa" w:w="880"/>
            <w:tcMar>
              <w:top w:type="dxa" w:w="60"/>
              <w:left w:type="dxa" w:w="80"/>
              <w:bottom w:type="dxa" w:w="60"/>
              <w:right w:type="dxa" w:w="80"/>
            </w:tcMar>
          </w:tcPr>
          <w:p>
            <w:pPr>
              <w:spacing w:after="0" w:line="240"/>
            </w:pPr>
            <w:r>
              <w:rPr>
                <w:b w:val="false"/>
                <w:bCs w:val="false"/>
                <w:sz w:val="16"/>
                <w:szCs w:val="16"/>
              </w:rPr>
              <w:t xml:space="preserve">0.4</w:t>
            </w:r>
          </w:p>
        </w:tc>
        <w:tc>
          <w:tcPr>
            <w:tcW w:type="dxa" w:w="880"/>
            <w:tcMar>
              <w:top w:type="dxa" w:w="60"/>
              <w:left w:type="dxa" w:w="80"/>
              <w:bottom w:type="dxa" w:w="60"/>
              <w:right w:type="dxa" w:w="80"/>
            </w:tcMar>
          </w:tcPr>
          <w:p>
            <w:pPr>
              <w:spacing w:after="0" w:line="240"/>
            </w:pPr>
            <w:r>
              <w:rPr>
                <w:b w:val="false"/>
                <w:bCs w:val="false"/>
                <w:sz w:val="16"/>
                <w:szCs w:val="16"/>
              </w:rPr>
              <w:t xml:space="preserve">838.83k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60</w:t>
            </w:r>
          </w:p>
        </w:tc>
        <w:tc>
          <w:tcPr>
            <w:tcW w:type="dxa" w:w="880"/>
            <w:tcMar>
              <w:top w:type="dxa" w:w="60"/>
              <w:left w:type="dxa" w:w="80"/>
              <w:bottom w:type="dxa" w:w="60"/>
              <w:right w:type="dxa" w:w="80"/>
            </w:tcMar>
          </w:tcPr>
          <w:p>
            <w:pPr>
              <w:spacing w:after="0" w:line="240"/>
            </w:pPr>
            <w:r>
              <w:rPr>
                <w:b w:val="false"/>
                <w:bCs w:val="false"/>
                <w:sz w:val="16"/>
                <w:szCs w:val="16"/>
              </w:rPr>
              <w:t xml:space="preserve">93.80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 with duplex</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0.27</w:t>
            </w:r>
          </w:p>
        </w:tc>
        <w:tc>
          <w:tcPr>
            <w:tcW w:type="dxa" w:w="880"/>
            <w:tcMar>
              <w:top w:type="dxa" w:w="60"/>
              <w:left w:type="dxa" w:w="80"/>
              <w:bottom w:type="dxa" w:w="60"/>
              <w:right w:type="dxa" w:w="80"/>
            </w:tcMar>
          </w:tcPr>
          <w:p>
            <w:pPr>
              <w:spacing w:after="0" w:line="240"/>
            </w:pPr>
            <w:r>
              <w:rPr>
                <w:b w:val="false"/>
                <w:bCs w:val="false"/>
                <w:sz w:val="16"/>
                <w:szCs w:val="16"/>
              </w:rPr>
              <w:t xml:space="preserve">0.3</w:t>
            </w:r>
          </w:p>
        </w:tc>
        <w:tc>
          <w:tcPr>
            <w:tcW w:type="dxa" w:w="880"/>
            <w:tcMar>
              <w:top w:type="dxa" w:w="60"/>
              <w:left w:type="dxa" w:w="80"/>
              <w:bottom w:type="dxa" w:w="60"/>
              <w:right w:type="dxa" w:w="80"/>
            </w:tcMar>
          </w:tcPr>
          <w:p>
            <w:pPr>
              <w:spacing w:after="0" w:line="240"/>
            </w:pPr>
            <w:r>
              <w:rPr>
                <w:b w:val="false"/>
                <w:bCs w:val="false"/>
                <w:sz w:val="16"/>
                <w:szCs w:val="16"/>
              </w:rPr>
              <w:t xml:space="preserve">744.90k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36</w:t>
            </w:r>
          </w:p>
        </w:tc>
        <w:tc>
          <w:tcPr>
            <w:tcW w:type="dxa" w:w="880"/>
            <w:tcMar>
              <w:top w:type="dxa" w:w="60"/>
              <w:left w:type="dxa" w:w="80"/>
              <w:bottom w:type="dxa" w:w="60"/>
              <w:right w:type="dxa" w:w="80"/>
            </w:tcMar>
          </w:tcPr>
          <w:p>
            <w:pPr>
              <w:spacing w:after="0" w:line="240"/>
            </w:pPr>
            <w:r>
              <w:rPr>
                <w:b w:val="false"/>
                <w:bCs w:val="false"/>
                <w:sz w:val="16"/>
                <w:szCs w:val="16"/>
              </w:rPr>
              <w:t xml:space="preserve">56.78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0.08</w:t>
            </w:r>
          </w:p>
        </w:tc>
        <w:tc>
          <w:tcPr>
            <w:tcW w:type="dxa" w:w="880"/>
            <w:tcMar>
              <w:top w:type="dxa" w:w="60"/>
              <w:left w:type="dxa" w:w="80"/>
              <w:bottom w:type="dxa" w:w="60"/>
              <w:right w:type="dxa" w:w="80"/>
            </w:tcMar>
          </w:tcPr>
          <w:p>
            <w:pPr>
              <w:spacing w:after="0" w:line="240"/>
            </w:pPr>
            <w:r>
              <w:rPr>
                <w:b w:val="false"/>
                <w:bCs w:val="false"/>
                <w:sz w:val="16"/>
                <w:szCs w:val="16"/>
              </w:rPr>
              <w:t xml:space="preserve">0.1</w:t>
            </w:r>
          </w:p>
        </w:tc>
        <w:tc>
          <w:tcPr>
            <w:tcW w:type="dxa" w:w="880"/>
            <w:tcMar>
              <w:top w:type="dxa" w:w="60"/>
              <w:left w:type="dxa" w:w="80"/>
              <w:bottom w:type="dxa" w:w="60"/>
              <w:right w:type="dxa" w:w="80"/>
            </w:tcMar>
          </w:tcPr>
          <w:p>
            <w:pPr>
              <w:spacing w:after="0" w:line="240"/>
            </w:pPr>
            <w:r>
              <w:rPr>
                <w:b w:val="false"/>
                <w:bCs w:val="false"/>
                <w:sz w:val="16"/>
                <w:szCs w:val="16"/>
              </w:rPr>
              <w:t xml:space="preserve">140.00k</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9</w:t>
            </w:r>
          </w:p>
        </w:tc>
        <w:tc>
          <w:tcPr>
            <w:tcW w:type="dxa" w:w="880"/>
            <w:tcMar>
              <w:top w:type="dxa" w:w="60"/>
              <w:left w:type="dxa" w:w="80"/>
              <w:bottom w:type="dxa" w:w="60"/>
              <w:right w:type="dxa" w:w="80"/>
            </w:tcMar>
          </w:tcPr>
          <w:p>
            <w:pPr>
              <w:spacing w:after="0" w:line="240"/>
            </w:pPr>
            <w:r>
              <w:rPr>
                <w:b w:val="false"/>
                <w:bCs w:val="false"/>
                <w:sz w:val="16"/>
                <w:szCs w:val="16"/>
              </w:rPr>
              <w:t xml:space="preserve">13.61 M</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Hungary, 77,500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48.05</w:t>
            </w:r>
          </w:p>
        </w:tc>
        <w:tc>
          <w:tcPr>
            <w:tcW w:type="dxa" w:w="880"/>
            <w:tcMar>
              <w:top w:type="dxa" w:w="60"/>
              <w:left w:type="dxa" w:w="80"/>
              <w:bottom w:type="dxa" w:w="60"/>
              <w:right w:type="dxa" w:w="80"/>
            </w:tcMar>
          </w:tcPr>
          <w:p>
            <w:pPr>
              <w:spacing w:after="0" w:line="240"/>
            </w:pPr>
            <w:r>
              <w:rPr>
                <w:b w:val="false"/>
                <w:bCs w:val="false"/>
                <w:sz w:val="16"/>
                <w:szCs w:val="16"/>
              </w:rPr>
              <w:t xml:space="preserve">45.7</w:t>
            </w:r>
          </w:p>
        </w:tc>
        <w:tc>
          <w:tcPr>
            <w:tcW w:type="dxa" w:w="880"/>
            <w:tcMar>
              <w:top w:type="dxa" w:w="60"/>
              <w:left w:type="dxa" w:w="80"/>
              <w:bottom w:type="dxa" w:w="60"/>
              <w:right w:type="dxa" w:w="80"/>
            </w:tcMar>
          </w:tcPr>
          <w:p>
            <w:pPr>
              <w:spacing w:after="0" w:line="240"/>
            </w:pPr>
            <w:r>
              <w:rPr>
                <w:b w:val="false"/>
                <w:bCs w:val="false"/>
                <w:sz w:val="16"/>
                <w:szCs w:val="16"/>
              </w:rPr>
              <w:t xml:space="preserve">94.54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5,751</w:t>
            </w:r>
          </w:p>
        </w:tc>
        <w:tc>
          <w:tcPr>
            <w:tcW w:type="dxa" w:w="880"/>
            <w:tcMar>
              <w:top w:type="dxa" w:w="60"/>
              <w:left w:type="dxa" w:w="80"/>
              <w:bottom w:type="dxa" w:w="60"/>
              <w:right w:type="dxa" w:w="80"/>
            </w:tcMar>
          </w:tcPr>
          <w:p>
            <w:pPr>
              <w:spacing w:after="0" w:line="240"/>
            </w:pPr>
            <w:r>
              <w:rPr>
                <w:b w:val="false"/>
                <w:bCs w:val="false"/>
                <w:sz w:val="16"/>
                <w:szCs w:val="16"/>
              </w:rPr>
              <w:t xml:space="preserve">8.97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26.20</w:t>
            </w:r>
          </w:p>
        </w:tc>
        <w:tc>
          <w:tcPr>
            <w:tcW w:type="dxa" w:w="880"/>
            <w:tcMar>
              <w:top w:type="dxa" w:w="60"/>
              <w:left w:type="dxa" w:w="80"/>
              <w:bottom w:type="dxa" w:w="60"/>
              <w:right w:type="dxa" w:w="80"/>
            </w:tcMar>
          </w:tcPr>
          <w:p>
            <w:pPr>
              <w:spacing w:after="0" w:line="240"/>
            </w:pPr>
            <w:r>
              <w:rPr>
                <w:b w:val="false"/>
                <w:bCs w:val="false"/>
                <w:sz w:val="16"/>
                <w:szCs w:val="16"/>
              </w:rPr>
              <w:t xml:space="preserve">24.9</w:t>
            </w:r>
          </w:p>
        </w:tc>
        <w:tc>
          <w:tcPr>
            <w:tcW w:type="dxa" w:w="880"/>
            <w:tcMar>
              <w:top w:type="dxa" w:w="60"/>
              <w:left w:type="dxa" w:w="80"/>
              <w:bottom w:type="dxa" w:w="60"/>
              <w:right w:type="dxa" w:w="80"/>
            </w:tcMar>
          </w:tcPr>
          <w:p>
            <w:pPr>
              <w:spacing w:after="0" w:line="240"/>
            </w:pPr>
            <w:r>
              <w:rPr>
                <w:b w:val="false"/>
                <w:bCs w:val="false"/>
                <w:sz w:val="16"/>
                <w:szCs w:val="16"/>
              </w:rPr>
              <w:t xml:space="preserve">81.88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3,130</w:t>
            </w:r>
          </w:p>
        </w:tc>
        <w:tc>
          <w:tcPr>
            <w:tcW w:type="dxa" w:w="880"/>
            <w:tcMar>
              <w:top w:type="dxa" w:w="60"/>
              <w:left w:type="dxa" w:w="80"/>
              <w:bottom w:type="dxa" w:w="60"/>
              <w:right w:type="dxa" w:w="80"/>
            </w:tcMar>
          </w:tcPr>
          <w:p>
            <w:pPr>
              <w:spacing w:after="0" w:line="240"/>
            </w:pPr>
            <w:r>
              <w:rPr>
                <w:b w:val="false"/>
                <w:bCs w:val="false"/>
                <w:sz w:val="16"/>
                <w:szCs w:val="16"/>
              </w:rPr>
              <w:t xml:space="preserve">4.88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43.3</w:t>
            </w:r>
          </w:p>
        </w:tc>
        <w:tc>
          <w:tcPr>
            <w:tcW w:type="dxa" w:w="880"/>
            <w:tcMar>
              <w:top w:type="dxa" w:w="60"/>
              <w:left w:type="dxa" w:w="80"/>
              <w:bottom w:type="dxa" w:w="60"/>
              <w:right w:type="dxa" w:w="80"/>
            </w:tcMar>
          </w:tcPr>
          <w:p>
            <w:pPr>
              <w:spacing w:after="0" w:line="240"/>
            </w:pPr>
            <w:r>
              <w:rPr>
                <w:b w:val="false"/>
                <w:bCs w:val="false"/>
                <w:sz w:val="16"/>
                <w:szCs w:val="16"/>
              </w:rPr>
              <w:t xml:space="preserve">16.76</w:t>
            </w:r>
          </w:p>
        </w:tc>
        <w:tc>
          <w:tcPr>
            <w:tcW w:type="dxa" w:w="880"/>
            <w:tcMar>
              <w:top w:type="dxa" w:w="60"/>
              <w:left w:type="dxa" w:w="80"/>
              <w:bottom w:type="dxa" w:w="60"/>
              <w:right w:type="dxa" w:w="80"/>
            </w:tcMar>
          </w:tcPr>
          <w:p>
            <w:pPr>
              <w:spacing w:after="0" w:line="240"/>
            </w:pPr>
            <w:r>
              <w:rPr>
                <w:b w:val="false"/>
                <w:bCs w:val="false"/>
                <w:sz w:val="16"/>
                <w:szCs w:val="16"/>
              </w:rPr>
              <w:t xml:space="preserve">15.9</w:t>
            </w:r>
          </w:p>
        </w:tc>
        <w:tc>
          <w:tcPr>
            <w:tcW w:type="dxa" w:w="880"/>
            <w:tcMar>
              <w:top w:type="dxa" w:w="60"/>
              <w:left w:type="dxa" w:w="80"/>
              <w:bottom w:type="dxa" w:w="60"/>
              <w:right w:type="dxa" w:w="80"/>
            </w:tcMar>
          </w:tcPr>
          <w:p>
            <w:pPr>
              <w:spacing w:after="0" w:line="240"/>
            </w:pPr>
            <w:r>
              <w:rPr>
                <w:b w:val="false"/>
                <w:bCs w:val="false"/>
                <w:sz w:val="16"/>
                <w:szCs w:val="16"/>
              </w:rPr>
              <w:t xml:space="preserve">32.50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2,330</w:t>
            </w:r>
          </w:p>
        </w:tc>
        <w:tc>
          <w:tcPr>
            <w:tcW w:type="dxa" w:w="880"/>
            <w:tcMar>
              <w:top w:type="dxa" w:w="60"/>
              <w:left w:type="dxa" w:w="80"/>
              <w:bottom w:type="dxa" w:w="60"/>
              <w:right w:type="dxa" w:w="80"/>
            </w:tcMar>
          </w:tcPr>
          <w:p>
            <w:pPr>
              <w:spacing w:after="0" w:line="240"/>
            </w:pPr>
            <w:r>
              <w:rPr>
                <w:b w:val="false"/>
                <w:bCs w:val="false"/>
                <w:sz w:val="16"/>
                <w:szCs w:val="16"/>
              </w:rPr>
              <w:t xml:space="preserve">3.63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 with duplex</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10.47</w:t>
            </w:r>
          </w:p>
        </w:tc>
        <w:tc>
          <w:tcPr>
            <w:tcW w:type="dxa" w:w="880"/>
            <w:tcMar>
              <w:top w:type="dxa" w:w="60"/>
              <w:left w:type="dxa" w:w="80"/>
              <w:bottom w:type="dxa" w:w="60"/>
              <w:right w:type="dxa" w:w="80"/>
            </w:tcMar>
          </w:tcPr>
          <w:p>
            <w:pPr>
              <w:spacing w:after="0" w:line="240"/>
            </w:pPr>
            <w:r>
              <w:rPr>
                <w:b w:val="false"/>
                <w:bCs w:val="false"/>
                <w:sz w:val="16"/>
                <w:szCs w:val="16"/>
              </w:rPr>
              <w:t xml:space="preserve">9.9</w:t>
            </w:r>
          </w:p>
        </w:tc>
        <w:tc>
          <w:tcPr>
            <w:tcW w:type="dxa" w:w="880"/>
            <w:tcMar>
              <w:top w:type="dxa" w:w="60"/>
              <w:left w:type="dxa" w:w="80"/>
              <w:bottom w:type="dxa" w:w="60"/>
              <w:right w:type="dxa" w:w="80"/>
            </w:tcMar>
          </w:tcPr>
          <w:p>
            <w:pPr>
              <w:spacing w:after="0" w:line="240"/>
            </w:pPr>
            <w:r>
              <w:rPr>
                <w:b w:val="false"/>
                <w:bCs w:val="false"/>
                <w:sz w:val="16"/>
                <w:szCs w:val="16"/>
              </w:rPr>
              <w:t xml:space="preserve">28.86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1,410</w:t>
            </w:r>
          </w:p>
        </w:tc>
        <w:tc>
          <w:tcPr>
            <w:tcW w:type="dxa" w:w="880"/>
            <w:tcMar>
              <w:top w:type="dxa" w:w="60"/>
              <w:left w:type="dxa" w:w="80"/>
              <w:bottom w:type="dxa" w:w="60"/>
              <w:right w:type="dxa" w:w="80"/>
            </w:tcMar>
          </w:tcPr>
          <w:p>
            <w:pPr>
              <w:spacing w:after="0" w:line="240"/>
            </w:pPr>
            <w:r>
              <w:rPr>
                <w:b w:val="false"/>
                <w:bCs w:val="false"/>
                <w:sz w:val="16"/>
                <w:szCs w:val="16"/>
              </w:rPr>
              <w:t xml:space="preserve">2.20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3.09</w:t>
            </w:r>
          </w:p>
        </w:tc>
        <w:tc>
          <w:tcPr>
            <w:tcW w:type="dxa" w:w="880"/>
            <w:tcMar>
              <w:top w:type="dxa" w:w="60"/>
              <w:left w:type="dxa" w:w="80"/>
              <w:bottom w:type="dxa" w:w="60"/>
              <w:right w:type="dxa" w:w="80"/>
            </w:tcMar>
          </w:tcPr>
          <w:p>
            <w:pPr>
              <w:spacing w:after="0" w:line="240"/>
            </w:pPr>
            <w:r>
              <w:rPr>
                <w:b w:val="false"/>
                <w:bCs w:val="false"/>
                <w:sz w:val="16"/>
                <w:szCs w:val="16"/>
              </w:rPr>
              <w:t xml:space="preserve">2.9</w:t>
            </w:r>
          </w:p>
        </w:tc>
        <w:tc>
          <w:tcPr>
            <w:tcW w:type="dxa" w:w="880"/>
            <w:tcMar>
              <w:top w:type="dxa" w:w="60"/>
              <w:left w:type="dxa" w:w="80"/>
              <w:bottom w:type="dxa" w:w="60"/>
              <w:right w:type="dxa" w:w="80"/>
            </w:tcMar>
          </w:tcPr>
          <w:p>
            <w:pPr>
              <w:spacing w:after="0" w:line="240"/>
            </w:pPr>
            <w:r>
              <w:rPr>
                <w:b w:val="false"/>
                <w:bCs w:val="false"/>
                <w:sz w:val="16"/>
                <w:szCs w:val="16"/>
              </w:rPr>
              <w:t xml:space="preserve">5.42 M</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338</w:t>
            </w:r>
          </w:p>
        </w:tc>
        <w:tc>
          <w:tcPr>
            <w:tcW w:type="dxa" w:w="880"/>
            <w:tcMar>
              <w:top w:type="dxa" w:w="60"/>
              <w:left w:type="dxa" w:w="80"/>
              <w:bottom w:type="dxa" w:w="60"/>
              <w:right w:type="dxa" w:w="80"/>
            </w:tcMar>
          </w:tcPr>
          <w:p>
            <w:pPr>
              <w:spacing w:after="0" w:line="240"/>
            </w:pPr>
            <w:r>
              <w:rPr>
                <w:b w:val="false"/>
                <w:bCs w:val="false"/>
                <w:sz w:val="16"/>
                <w:szCs w:val="16"/>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S2. Greenhouse-gas emissions are cradle-to-gate for paper manufacture at 950 kg CO2e per tonne and exclude printing energy and end-of-life disposal. Property value is the capital immobilised by the archive at steady state under statutory retention, not an annual rent. Electronic result delivery is reported both single-sided, which isolates it from the printing policy, and combined with duplex printing; only the single-sided arm is a like-for-like comparator for duplex printing alone. Full cost components are given in supplementary table S2.</w:t>
      </w:r>
    </w:p>
    <w:p>
      <w:pPr>
        <w:pStyle w:val="Heading2"/>
        <w:spacing w:after="140" w:before="280"/>
      </w:pPr>
      <w:r>
        <w:rPr>
          <w:b/>
          <w:bCs/>
          <w:sz w:val="22"/>
          <w:szCs w:val="22"/>
        </w:rPr>
        <w:t xml:space="preserve">The archive: where the cost actually is</w:t>
      </w:r>
    </w:p>
    <w:p>
      <w:pPr>
        <w:spacing w:after="160" w:line="320"/>
      </w:pPr>
      <w:r>
        <w:t xml:space="preserve">Annual spend is not the interesting number. Under statutory retention the steady-state national holding is </w:t>
      </w:r>
      <w:r>
        <w:rPr>
          <w:b/>
          <w:bCs/>
        </w:rPr>
        <w:t xml:space="preserve">316 million sheets on 31,633 linear metres of shelving, occupying 5,751 m² and immobilising 8.97 billion HUF</w:t>
      </w:r>
      <w:r>
        <w:t xml:space="preserve"> at the tax authority's valuation. The consumables cost 94.5 million HUF a year. That capital is a stock and cannot be set against an annual flow directly; annualised at the same 3.7% discount rate it is an opportunity cost of </w:t>
      </w:r>
      <w:r>
        <w:rPr>
          <w:b/>
          <w:bCs/>
        </w:rPr>
        <w:t xml:space="preserve">332 million HUF a year, 3.5 times the recurrent consumable spend</w:t>
      </w:r>
      <w:r>
        <w:t xml:space="preserve">. Per episode the position is </w:t>
      </w:r>
      <w:r>
        <w:rPr>
          <w:b/>
          <w:bCs/>
        </w:rPr>
        <w:t xml:space="preserve">115,772 HUF of immobilised property against 1,220 HUF of consumables</w:t>
      </w:r>
      <w:r>
        <w:t xml:space="preserve"> — again scale-invariant, and departmentally 231.5 million HUF held in 148 m².</w:t>
      </w:r>
    </w:p>
    <w:p>
      <w:pPr>
        <w:spacing w:after="160" w:line="320"/>
      </w:pPr>
      <w:r>
        <w:t xml:space="preserve">Varied one at a time, no single parameter moves the national estimate outside 6.86 to 12.34 billion HUF (Table 3); the largest contributors are floor efficiency, the transferability of the observed page count to the national estate, and the property valuation. One-way analysis holds everything else at base case, so it does not bound the joint uncertainty: with the physical and price parameters simultaneously at their favourable ends the figure falls to 4.08 billion HUF, and at their adverse ends rises to 20.60 billion. Shelving density and floor efficiency are conventions we assumed rather than measured, and both are directly measurable before this figure is used in a business case.</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Printed pages per episode (transferability)</w:t>
            </w:r>
          </w:p>
        </w:tc>
        <w:tc>
          <w:tcPr>
            <w:tcW w:type="dxa" w:w="2256"/>
            <w:tcMar>
              <w:top w:type="dxa" w:w="60"/>
              <w:left w:type="dxa" w:w="80"/>
              <w:bottom w:type="dxa" w:w="60"/>
              <w:right w:type="dxa" w:w="80"/>
            </w:tcMar>
          </w:tcPr>
          <w:p>
            <w:pPr>
              <w:spacing w:after="0" w:line="240"/>
            </w:pPr>
            <w:r>
              <w:rPr>
                <w:b w:val="false"/>
                <w:bCs w:val="false"/>
                <w:sz w:val="18"/>
                <w:szCs w:val="18"/>
              </w:rPr>
              <w:t xml:space="preserve">6.86 bn</w:t>
            </w:r>
          </w:p>
        </w:tc>
        <w:tc>
          <w:tcPr>
            <w:tcW w:type="dxa" w:w="2256"/>
            <w:tcMar>
              <w:top w:type="dxa" w:w="60"/>
              <w:left w:type="dxa" w:w="80"/>
              <w:bottom w:type="dxa" w:w="60"/>
              <w:right w:type="dxa" w:w="80"/>
            </w:tcMar>
          </w:tcPr>
          <w:p>
            <w:pPr>
              <w:spacing w:after="0" w:line="240"/>
            </w:pPr>
            <w:r>
              <w:rPr>
                <w:b w:val="false"/>
                <w:bCs w:val="false"/>
                <w:sz w:val="18"/>
                <w:szCs w:val="18"/>
              </w:rPr>
              <w:t xml:space="preserve">11.08 bn</w:t>
            </w:r>
          </w:p>
        </w:tc>
        <w:tc>
          <w:tcPr>
            <w:tcW w:type="dxa" w:w="2258"/>
            <w:tcMar>
              <w:top w:type="dxa" w:w="60"/>
              <w:left w:type="dxa" w:w="80"/>
              <w:bottom w:type="dxa" w:w="60"/>
              <w:right w:type="dxa" w:w="80"/>
            </w:tcMar>
          </w:tcPr>
          <w:p>
            <w:pPr>
              <w:spacing w:after="0" w:line="240"/>
            </w:pPr>
            <w:r>
              <w:rPr>
                <w:b w:val="false"/>
                <w:bCs w:val="false"/>
                <w:sz w:val="18"/>
                <w:szCs w:val="18"/>
              </w:rPr>
              <w:t xml:space="preserve">4.22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 so the table is not a joint uncertainty interval. The transferability row scales the self-printed page count observed in one department to the national estate across an assumed range, not a measured one, and it applies to self-printed output only; the purchased booklet is one per pregnancy at any diagnostic intensity.</w:t>
      </w:r>
    </w:p>
    <w:p>
      <w:pPr>
        <w:pStyle w:val="Heading2"/>
        <w:spacing w:after="140" w:before="280"/>
      </w:pPr>
      <w:r>
        <w:rPr>
          <w:b/>
          <w:bCs/>
          <w:sz w:val="22"/>
          <w:szCs w:val="22"/>
        </w:rPr>
        <w:t xml:space="preserve">Staff time and forgone clinical space</w:t>
      </w:r>
    </w:p>
    <w:p>
      <w:pPr>
        <w:spacing w:after="160" w:line="320"/>
      </w:pPr>
      <w:r>
        <w:t xml:space="preserve">Two burdens appear in no invoice. Current practice requires </w:t>
      </w:r>
      <w:r>
        <w:rPr>
          <w:b/>
          <w:bCs/>
        </w:rPr>
        <w:t xml:space="preserve">45.6 documents to be printed and filed per episode</w:t>
      </w:r>
      <w:r>
        <w:t xml:space="preserve"> — 17.7 referrals, 17.7 paired diagnostic reports and 10.3 single-page ultrasound reports — which at 30 seconds each is </w:t>
      </w:r>
      <w:r>
        <w:rPr>
          <w:b/>
          <w:bCs/>
        </w:rPr>
        <w:t xml:space="preserve">22.8 minutes per episode</w:t>
      </w:r>
      <w:r>
        <w:t xml:space="preserve">: 761 hours a year departmentally (0.44 FTE) and </w:t>
      </w:r>
      <w:r>
        <w:rPr>
          <w:b/>
          <w:bCs/>
        </w:rPr>
        <w:t xml:space="preserve">29,476 hours, or 17.1 FTE, nationally</w:t>
      </w:r>
      <w:r>
        <w:t xml:space="preserve"> (11.4 to 34.3 across the 20 to 60 second range). Duplex printing changes this not at all, since the same documents are printed and filed;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archive occupies at steady state is not warehouse space on an industrial estate but floor inside hospital buildings, equivalent to </w:t>
      </w:r>
      <w:r>
        <w:rPr>
          <w:b/>
          <w:bCs/>
        </w:rPr>
        <w:t xml:space="preserve">320 antenatal consulting rooms or 164 delivery rooms</w:t>
      </w:r>
      <w:r>
        <w:t xml:space="preserve">; departmentally, 148 m² is 8 consulting rooms. This is how the property valuation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45.5%, short of half because odd page counts round up and the booklet is already double-sided — and cuts the steady-state archive to 3,130 m² and 4.88 billion HUF, </w:t>
      </w:r>
      <w:r>
        <w:rPr>
          <w:b/>
          <w:bCs/>
        </w:rPr>
        <w:t xml:space="preserve">releasing 4.09 billion HUF</w:t>
      </w:r>
      <w:r>
        <w:t xml:space="preserve"> (105.5 million departmentally). But printed pages and documents are untouched, so it saves no toner and no staff time: consumable spend falls only 13.4%, to 81.9 million HUF nationally. Duplex is an archive intervention, not a printing-cost or workforce one, and should be argued as such. One caveat: a form carrying a signature field on its reverse cannot be duplexed without redesign.</w:t>
      </w:r>
    </w:p>
    <w:p>
      <w:pPr>
        <w:spacing w:after="160" w:line="320"/>
      </w:pPr>
      <w:r>
        <w:rPr>
          <w:b/>
          <w:bCs/>
        </w:rPr>
        <w:t xml:space="preserve">Electronic result delivery (S2a)</w:t>
      </w:r>
      <w:r>
        <w:t xml:space="preserve"> is the only intervention reducing every burden at once. Printed pages fall from 116.3 to 35.3 per episode and sheets from 124.3 to 43.3, a 65.1% reduction; consumable spend falls 65.6% to 32.5 million HUF; handling falls to 8.8 minutes per episode, releasing 10.5 FTE; and the archive falls to 2,330 m² and 3.63 billion HUF, </w:t>
      </w:r>
      <w:r>
        <w:rPr>
          <w:b/>
          <w:bCs/>
        </w:rPr>
        <w:t xml:space="preserve">releasing 5.34 billion HUF</w:t>
      </w:r>
      <w:r>
        <w:t xml:space="preserve">. Against duplex it is worth five times as much on recurrent cost and 1.3 times as much on capital, and duplex is worth nothing on staff time. </w:t>
      </w:r>
      <w:r>
        <w:rPr>
          <w:b/>
          <w:bCs/>
        </w:rPr>
        <w:t xml:space="preserve">Combining the two (S2)</w:t>
      </w:r>
      <w:r>
        <w:t xml:space="preserve"> is a different intervention and must not be read as the effect of electronic delivery: sheets fall to 27.1, consumables to 28.9 million and the archive to 1,410 m² and 2.20 billion HUF, releasing 6.77 billion — of which 1.43 billion is the duplex component.</w:t>
      </w:r>
    </w:p>
    <w:p>
      <w:pPr>
        <w:spacing w:after="160" w:line="320"/>
      </w:pPr>
      <w:r>
        <w:rPr>
          <w:b/>
          <w:bCs/>
        </w:rPr>
        <w:t xml:space="preserve">A paperless pathway (S3)</w:t>
      </w:r>
      <w:r>
        <w:t xml:space="preserve"> reduces printed output to zero and the archive to 338 m², but is not free: the booklets still cost 5.4 million HUF a year nationally — the irreducible floor while the patient-held record stays on paper.</w:t>
      </w:r>
    </w:p>
    <w:p>
      <w:pPr>
        <w:pStyle w:val="Heading2"/>
        <w:spacing w:after="140" w:before="280"/>
      </w:pPr>
      <w:r>
        <w:rPr>
          <w:b/>
          <w:bCs/>
          <w:sz w:val="22"/>
          <w:szCs w:val="22"/>
        </w:rPr>
        <w:t xml:space="preserve">Environmental footprint</w:t>
      </w:r>
    </w:p>
    <w:p>
      <w:pPr>
        <w:spacing w:after="160" w:line="320"/>
      </w:pPr>
      <w:r>
        <w:t xml:space="preserve">Current practice consumes </w:t>
      </w:r>
      <w:r>
        <w:rPr>
          <w:b/>
          <w:bCs/>
        </w:rPr>
        <w:t xml:space="preserve">899 litres of water and emits 0.59 kg CO2e per care episode</w:t>
      </w:r>
      <w:r>
        <w:t xml:space="preserve">: nationally 69,700 m³ a year (14,400 to 124,900 across the published factor range) and 45.7 tonnes CO2e (29.2 to 95.1); departmentally 1,798 m³ and 1.2 tonnes. Figure 5 gives both by arm.</w:t>
      </w:r>
    </w:p>
    <w:p>
      <w:pPr>
        <w:spacing w:after="160" w:line="320"/>
      </w:pPr>
      <w:r>
        <w:t xml:space="preserve">Both are driven by paper mass and fall together — 45% under duplex, 65% under electronic report delivery — but they differ in force. The emissions figure is small in absolute terms for an entire national obstetric service, and we say so rather than dress it up. The water figure is the more arresting: </w:t>
      </w:r>
      <w:r>
        <w:rPr>
          <w:b/>
          <w:bCs/>
        </w:rPr>
        <w:t xml:space="preserve">nearly a cubic metre per pregnancy documented</w:t>
      </w:r>
      <w:r>
        <w:t xml:space="preserve">, to manufacture paper most of which duplicates data already held electronically.</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Roughly six in ten of the 131 pages an episode generates are printed copies of diagnostic reports that already exist in a national electronic exchange. The pathway's paper is therefore not, in the main, a record of clinical work: it is a physical rendering of data captured electronically, printed once, filed once, then stored for three to five decades at a cost dominated by real estate rather than stationery.</w:t>
      </w:r>
    </w:p>
    <w:p>
      <w:pPr>
        <w:spacing w:after="160" w:line="320"/>
      </w:pPr>
      <w:r>
        <w:t xml:space="preserve">Four numbers carry the argument, all scale-invariant, so they transfer to any unit or country that knows its delivery volume and its property prices. The first is composition: 62% reports against 14% generated clinical record. The second is flow against stock: </w:t>
      </w:r>
      <w:r>
        <w:rPr>
          <w:b/>
          <w:bCs/>
        </w:rPr>
        <w:t xml:space="preserve">1,220 HUF of consumables per episode against 115,772 HUF of immobilised property</w:t>
      </w:r>
      <w:r>
        <w:t xml:space="preserve">, which annualised at 3.7% is 4,283 HUF a year against 1,220. The third sits inside the consumable figure — </w:t>
      </w:r>
      <w:r>
        <w:rPr>
          <w:b/>
          <w:bCs/>
        </w:rPr>
        <w:t xml:space="preserve">two-thirds is toner, not paper</w:t>
      </w:r>
      <w:r>
        <w:t xml:space="preserve">. The fourth is that none of these reach the two largest burdens, because neither reaches an invoice: </w:t>
      </w:r>
      <w:r>
        <w:rPr>
          <w:b/>
          <w:bCs/>
        </w:rPr>
        <w:t xml:space="preserve">22.8 minutes of staff handling per episode, 17.1 FTE nationally, and 5,751 m² of hospital floor withdrawn from clinical use</w:t>
      </w:r>
      <w:r>
        <w:t xml:space="preserve">. An analysis stopping at the stationery invoice sees just over a quarter of the recurrent cost, under a tenth of the annualised capital, and none of the workforce or the space.</w:t>
      </w:r>
    </w:p>
    <w:p>
      <w:pPr>
        <w:spacing w:after="160" w:line="320"/>
      </w:pPr>
      <w:r>
        <w:t xml:space="preserve">The fixed 4:1 reporting convention gives this a clean policy handle: paper volume is a linear function of referral count, so any change in how </w:t>
      </w:r>
      <w:r>
        <w:rPr>
          <w:i/>
          <w:iCs/>
        </w:rPr>
        <w:t xml:space="preserve">reports</w:t>
      </w:r>
      <w:r>
        <w:t xml:space="preserve"> are delivered scales with the number of investigations ordered. That is why electronic report delivery releases 1.3 times as much property value as duplex printing, and five times as much recurrent cost, despite being the conceptually smaller change.</w:t>
      </w:r>
    </w:p>
    <w:p>
      <w:pPr>
        <w:pStyle w:val="Heading2"/>
        <w:spacing w:after="140" w:before="280"/>
      </w:pPr>
      <w:r>
        <w:rPr>
          <w:b/>
          <w:bCs/>
          <w:sz w:val="22"/>
          <w:szCs w:val="22"/>
        </w:rPr>
        <w:t xml:space="preserve">Comparison with existing work</w:t>
      </w:r>
    </w:p>
    <w:p>
      <w:pPr>
        <w:spacing w:after="160" w:line="320"/>
      </w:pPr>
      <w:r>
        <w:t xml:space="preserve">Direct comparators are scarce, which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[12,13]. Our result prices the artefact rather than the labour, so the two literatures appear to be measuring opposite ends of one problem.</w:t>
      </w:r>
    </w:p>
    <w:p>
      <w:pPr>
        <w:spacing w:after="160" w:line="320"/>
      </w:pPr>
      <w:r>
        <w:t xml:space="preserve">Our count is roughly double the unpublished working assumption of 64 pages per birth used in earlier planning for this project, cited only to show how far an unmeasured assumption can sit from a count. The gap is scope: the lower figure covers the delivery hospital chart, whereas our count spans the whole antenatal and delivery pathway including the diagnostic traffic that dominates it. That is precisely the kind of scope difference that makes unmeasured assumptions unsafe.</w:t>
      </w:r>
    </w:p>
    <w:p>
      <w:pPr>
        <w:pStyle w:val="Heading2"/>
        <w:spacing w:after="140" w:before="280"/>
      </w:pPr>
      <w:r>
        <w:rPr>
          <w:b/>
          <w:bCs/>
          <w:sz w:val="22"/>
          <w:szCs w:val="22"/>
        </w:rPr>
        <w:t xml:space="preserve">Beyond cost: record integrity, and the risk of replacing paper</w:t>
      </w:r>
    </w:p>
    <w:p>
      <w:pPr>
        <w:spacing w:after="160" w:line="320"/>
      </w:pPr>
      <w:r>
        <w:t xml:space="preserve">This study measured cost, not safety, and nothing in our data speaks to error rates. But a costing that stops at money understates the case against paper, because the paper record carries failure modes a natively electronic one does not. It can be </w:t>
      </w:r>
      <w:r>
        <w:rPr>
          <w:b/>
          <w:bCs/>
        </w:rPr>
        <w:t xml:space="preserve">misread</w:t>
      </w:r>
      <w:r>
        <w:t xml:space="preserve">: of 405 general surgical operation notes, 8.3% of the handwritten ones were illegible and none of the electronic ones were, and electronic notes were more complete on 17 of 18 quality criteria (p&lt;0.001) [14]; of 398 prescriptions, errors were found in 35.7% of handwritten against 2.5% of electronic ones [15]. Obstetric documentation is written under the conditions that produce this: at speed, often at night, sometimes with gloves on. It can be </w:t>
      </w:r>
      <w:r>
        <w:rPr>
          <w:b/>
          <w:bCs/>
        </w:rPr>
        <w:t xml:space="preserve">misfiled or lost</w:t>
      </w:r>
      <w:r>
        <w:t xml:space="preserve">, and here the evidence warns about the intervention as much as the status quo: in an audit of 100 patients whose paper records had been scanned into a document management system, 5% of operation notes were missing and 80% were filed in the wrong section [16]. Scanning paper is not the remedy; capturing data electronically at source is. And it can </w:t>
      </w:r>
      <w:r>
        <w:rPr>
          <w:b/>
          <w:bCs/>
        </w:rPr>
        <w:t xml:space="preserve">degrade</w:t>
      </w:r>
      <w:r>
        <w:t xml:space="preserve">, since a record must stay legible for thirty to fifty years and thermal cardiotocograph traces, ballpoint ink and carbon copies are not built for it.</w:t>
      </w:r>
    </w:p>
    <w:p>
      <w:pPr>
        <w:spacing w:after="160" w:line="320"/>
      </w:pPr>
      <w:r>
        <w:t xml:space="preserve">Digitisation creates its own risks, and a paper arguing for it owes the reader them. Long-term </w:t>
      </w:r>
      <w:r>
        <w:rPr>
          <w:i/>
          <w:iCs/>
        </w:rPr>
        <w:t xml:space="preserve">digital</w:t>
      </w:r>
      <w:r>
        <w:t xml:space="preserve"> preservation is unsolved: format obsolescence, migration, and authenticated signatures maintained across a fifty-year retention period need funded curation from day one. Cyber risk fails towards forced reversion to the paper process being replaced, as in a practice that spent three months on paper after a ransomware attack [17]. And usability is not soft: hospitals with poorer electronic record usability show higher odds of nurse burnout (OR 1.41, 95% CI 1.21 to 1.64) and of surgical inpatient mortality (OR 1.21, 95% CI 1.09 to 1.35) [3]. A badly implemented paperless pathway can cost more, in the currency that matters, than the paper it removes. The two interventions therefore answer different questions: duplex printing releases 4.09 billion HUF, needs no investment and carries none of these risks, so it should be done now and defended on archive space; electronic report delivery is the only lever moving cost, staff time and space together, and it is the one needing careful implementation.</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and that the unit costs are official published prices. An internal cross-check reconciled our per-episode totals with the workbook's own sum column across all 100 episodes; because the report columns are derived, that establishes transcription and arithmetic integrity, not independence of the counts.</w:t>
      </w:r>
    </w:p>
    <w:p>
      <w:pPr>
        <w:spacing w:after="160" w:line="320"/>
      </w:pPr>
      <w:r>
        <w:t xml:space="preserve">The limitations are substantial, in order of severity. </w:t>
      </w:r>
      <w:r>
        <w:rPr>
          <w:i/>
          <w:iCs/>
        </w:rPr>
        <w:t xml:space="preserve">Derived report counts:</w:t>
      </w:r>
      <w:r>
        <w:t xml:space="preserve"> report pages were derived from referrals at the institution's fixed 4:1 convention rather than counted, so the 61.7% report share is the output of that convention as much as a measurement and the standard deviation of the total is understated; external validation should measure report length first. </w:t>
      </w:r>
      <w:r>
        <w:rPr>
          <w:i/>
          <w:iCs/>
        </w:rPr>
        <w:t xml:space="preserve">Transferability:</w:t>
      </w:r>
      <w:r>
        <w:t xml:space="preserve"> the 131.3 pages come from one university department but are applied to every Hungarian birth. Antenatal care nationally is largely community-based and presumably less diagnostically intensive, so the national figures are more likely overstated than understated; Table 3 carries an illustrative ±25% range, but the true value is unmeasured. </w:t>
      </w:r>
      <w:r>
        <w:rPr>
          <w:i/>
          <w:iCs/>
        </w:rPr>
        <w:t xml:space="preserve">Single centre, single country:</w:t>
      </w:r>
      <w:r>
        <w:t xml:space="preserve"> one institution's forms, one retention law, one procurement price; the constants and the model structure transfer, the absolute figures do not. </w:t>
      </w:r>
      <w:r>
        <w:rPr>
          <w:i/>
          <w:iCs/>
        </w:rPr>
        <w:t xml:space="preserve">Sampling frame unspecified:</w:t>
      </w:r>
      <w:r>
        <w:t xml:space="preserve"> ⟦pending author input — see Design and setting⟧; until stated, the 100 episodes cannot be claimed representative. </w:t>
      </w:r>
      <w:r>
        <w:rPr>
          <w:i/>
          <w:iCs/>
        </w:rPr>
        <w:t xml:space="preserve">Handling time is modelled, not observed:</w:t>
      </w:r>
      <w:r>
        <w:t xml:space="preserve"> 30 seconds per document is an assumption, not a time-and-motion measurement, and it covers production only, excluding retrieval across the retention period, which for a paper archive is plausibly the larger task; the one-page-per-ultrasound-report convention supplies 10.3 of the 45.6 documents, and at two pages the national figure would fall from 17.1 to 15.2 FTE. </w:t>
      </w:r>
      <w:r>
        <w:rPr>
          <w:i/>
          <w:iCs/>
        </w:rPr>
        <w:t xml:space="preserve">Staff time is quantified but not costed,</w:t>
      </w:r>
      <w:r>
        <w:t xml:space="preserve"> so the monetary totals are floors and are not comparable with analyses that monetise it. </w:t>
      </w:r>
      <w:r>
        <w:rPr>
          <w:i/>
          <w:iCs/>
        </w:rPr>
        <w:t xml:space="preserve">Environmental figures are factor-based estimates, not a life-cycle assessment:</w:t>
      </w:r>
      <w:r>
        <w:t xml:space="preserve"> the spreads are wide, the water factor has no central value, and both exclude printing energy, transport, archive conditioning and disposal. </w:t>
      </w:r>
      <w:r>
        <w:rPr>
          <w:i/>
          <w:iCs/>
        </w:rPr>
        <w:t xml:space="preserve">Property value is capital, not cash:</w:t>
      </w:r>
      <w:r>
        <w:t xml:space="preserve"> releasing it needs the space to be repurposable, and it rests on one site's valuation that will not hold across a national estate. </w:t>
      </w:r>
      <w:r>
        <w:rPr>
          <w:i/>
          <w:iCs/>
        </w:rPr>
        <w:t xml:space="preserve">Archival conventions assumed:</w:t>
      </w:r>
      <w:r>
        <w:t xml:space="preserve"> shelving density and floor efficiency are among the largest uncertainties in the headline figure and the cheapest to remove, both measurable in an afternoon in a real archive.</w:t>
      </w:r>
    </w:p>
    <w:p>
      <w:pPr>
        <w:pStyle w:val="Heading2"/>
        <w:spacing w:after="140" w:before="280"/>
      </w:pPr>
      <w:r>
        <w:rPr>
          <w:b/>
          <w:bCs/>
          <w:sz w:val="22"/>
          <w:szCs w:val="22"/>
        </w:rPr>
        <w:t xml:space="preserve">Implications and further work</w:t>
      </w:r>
    </w:p>
    <w:p>
      <w:pPr>
        <w:spacing w:after="160" w:line="320"/>
      </w:pPr>
      <w:r>
        <w:t xml:space="preserve">Three things follow. Duplex printing and duplex-ready form design are an immediate, investment-free intervention, subject only to keeping signature fields off reverse sides. The target of digitisation here is </w:t>
      </w:r>
      <w:r>
        <w:rPr>
          <w:i/>
          <w:iCs/>
        </w:rPr>
        <w:t xml:space="preserve">report delivery</w:t>
      </w:r>
      <w:r>
        <w:t xml:space="preserve">, not clinical charting, because that is where the paper is. And retention policy is an economic decision distinct from printing policy: a health system pays for retention in archivist labour or in building, and should choose knowingly.</w:t>
      </w:r>
    </w:p>
    <w:p>
      <w:pPr>
        <w:spacing w:after="160" w:line="320"/>
      </w:pPr>
      <w:r>
        <w:t xml:space="preserve">Four studies would strengthen this work: a time-and-motion measurement of document handling; direct measurement of report length, of the per-episode page count outside a tertiary centre, and of archival shelving density, replacing the weakest assumptions; and a retrospective legibility audit of archived obstetric records at 10, 20, 30 and 40 years, testing whether the long retention period delivers the legal protection it is designed to provide — the thermal-paper cardiotocograph trace being the obvious case where it may not.</w:t>
      </w: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are printed copies of results that already exist electronically. The cost is not mainly the 1,220 HUF of consumables per episode — 94.5 million HUF a year nationally, two-thirds of it toner rather than paper — but the 115,772 HUF of property per episode immobilised by holding the output for three to five decades, 8.97 billion HUF nationally, an annualised 332 million a year. Nor is money the largest item: printing and filing takes an estimated 22.8 minutes per episode, 17.1 full-time equivalents nationally, and the archive occupies 5,751 m² of hospital floor, 320 consulting rooms' worth, withdrawn from clinical use. Because staff time is excluded from the monetary totals, these are floors.</w:t>
      </w:r>
    </w:p>
    <w:p>
      <w:pPr>
        <w:spacing w:after="160" w:line="320"/>
      </w:pPr>
      <w:r>
        <w:t xml:space="preserve">Double-sided printing releases 46% of the capital immediately and for nothing, though it saves only 13% of the recurrent cost and no staff time, because toner is charged by the page and handling by the document. Delivering reports electronically releases 60% of the capital, 66% of the recurrent cost and 10.5 FTE; doing both releases 75% and 70%. Neither needs a new hospital information system; both need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who accessed the source clinical records and under what approval, and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7. Nemzeti Adó- és Vámhivatal. Property valuation for the archive site, 1 560 000 HUF/m2. ⟦Add valuation reference and date.⟧</w:t>
      </w:r>
    </w:p>
    <w:p>
      <w:pPr>
        <w:spacing w:after="100" w:line="300"/>
        <w:ind w:left="420" w:hanging="420"/>
      </w:pPr>
      <w:r>
        <w:t xml:space="preserve">8.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9. Tomberlin KE, Venditti R, Yao Y. Life cycle carbon footprint analysis of pulp and paper grades in the United States using production-line-based data and integration. BioResources 2020;15:3899-914. doi:10.15376/biores.15.2.3899-3914</w:t>
      </w:r>
    </w:p>
    <w:p>
      <w:pPr>
        <w:spacing w:after="100" w:line="300"/>
        <w:ind w:left="420" w:hanging="420"/>
      </w:pPr>
      <w:r>
        <w:t xml:space="preserve">10. van Oel PR, Hoekstra AY. Towards quantification of the water footprint of paper: a first estimate of its consumptive component. Water Resour Manag 2012;26:733-49. doi:10.1007/s11269-011-9942-7</w:t>
      </w:r>
    </w:p>
    <w:p>
      <w:pPr>
        <w:spacing w:after="100" w:line="300"/>
        <w:ind w:left="420" w:hanging="420"/>
      </w:pPr>
      <w:r>
        <w:t xml:space="preserve">11. Hungarian Central Statistical Office. Live births, total fertility rate. Budapest: KSH 2025. ⟦Add stadat table URL and accessed date.⟧</w:t>
      </w:r>
    </w:p>
    <w:p>
      <w:pPr>
        <w:spacing w:after="100" w:line="300"/>
        <w:ind w:left="420" w:hanging="420"/>
      </w:pPr>
      <w:r>
        <w:t xml:space="preserve">12.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13. Avila-Alvarez A, Ruiz Campillo CW, Zeballos-Sarrato G, et al. Time to improve documentation of neonatal resuscitation: a narrative review. Minerva Pediatr (Torino) 2022. Epub ahead of print. doi:10.23736/S2724-5276.22.06914-2</w:t>
      </w:r>
    </w:p>
    <w:p>
      <w:pPr>
        <w:spacing w:after="100" w:line="300"/>
        <w:ind w:left="420" w:hanging="420"/>
      </w:pPr>
      <w:r>
        <w:t xml:space="preserve">14. Ekowo O, Hammenga C, Altaf K, et al. A cross-sectional retrospective study comparing handwritten operation notes with electronic operation notes. Ann R Coll Surg Engl 2022;105:35-42. doi:10.1308/rcsann.2022.0066</w:t>
      </w:r>
    </w:p>
    <w:p>
      <w:pPr>
        <w:spacing w:after="100" w:line="300"/>
        <w:ind w:left="420" w:hanging="420"/>
      </w:pPr>
      <w:r>
        <w:t xml:space="preserve">15. Albarrak AI, Al Rashidi EA, Fatani RK, et al. Assessment of legibility and completeness of handwritten and electronic prescriptions. Saudi Pharm J 2014;22:522-7. doi:10.1016/j.jsps.2014.02.013</w:t>
      </w:r>
    </w:p>
    <w:p>
      <w:pPr>
        <w:spacing w:after="100" w:line="300"/>
        <w:ind w:left="420" w:hanging="420"/>
      </w:pPr>
      <w:r>
        <w:t xml:space="preserve">16. Murphy C, Keogh IJ. The evolution of the medical record from paper to digital: an ENT perspective. J Laryngol Otol 2022;137:246-8. doi:10.1017/S0022215122002018</w:t>
      </w:r>
    </w:p>
    <w:p>
      <w:pPr>
        <w:spacing w:after="100" w:line="300"/>
        <w:ind w:left="420" w:hanging="420"/>
      </w:pPr>
      <w:r>
        <w:t xml:space="preserve">17. Bujold E. You have been hacked! Ann Fam Med 2023;21:85-7. doi:10.1370/afm.2906</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Values are per care episode and therefore independent of departmental or national volume. Diagnostic reports (solid fill) account for 61.7% of all pages; referrals (hatched) for 13.4%; clinical records (dotted) for 24.9%. Report pages were derived from referral counts at the institution's fixed four-pages-per-referral convention (Methods).</w:t>
      </w:r>
    </w:p>
    <w:p>
      <w:pPr>
        <w:spacing w:after="160" w:line="320"/>
      </w:pPr>
      <w:r>
        <w:rPr>
          <w:b/>
          <w:bCs/>
        </w:rPr>
        <w:t xml:space="preserve">Figure 2.</w:t>
      </w:r>
      <w:r>
        <w:t xml:space="preserve"> Distribution of total printed pages per care episode in the study sample (n = 100). Dashed line, mean 131.3 pages. The distribution is symmetric and narrow (IQR 124 to 138), indicating that documentation volume behaves as a near-fixed cost of the care pathway.</w:t>
      </w:r>
    </w:p>
    <w:p>
      <w:pPr>
        <w:spacing w:after="160" w:line="320"/>
      </w:pPr>
      <w:r>
        <w:rPr>
          <w:b/>
          <w:bCs/>
        </w:rPr>
        <w:t xml:space="preserve">Figure 3.</w:t>
      </w:r>
      <w:r>
        <w:t xml:space="preserve"> Annual national paper consumption by scenario arm, at 77,500 care episodes per year. Percentages are reductions relative to current practice. Electronic reports is single-sided electronic result delivery; Electronic + duplex combines it with double-sided printing. At departmental scale (2,000 episodes per year) the same arms correspond to 1.24, 0.68, 0.43, 0.27 and 0.08 tonnes per year.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arm, at constant annual volume, before any retention period expires. Slopes are 963, 525, 336, 210 and 62 linear metres of shelving per year respectively.</w:t>
      </w:r>
    </w:p>
    <w:p>
      <w:pPr>
        <w:spacing w:after="160" w:line="320"/>
      </w:pPr>
      <w:r>
        <w:rPr>
          <w:b/>
          <w:bCs/>
        </w:rPr>
        <w:t xml:space="preserve">Figure 5.</w:t>
      </w:r>
      <w:r>
        <w:t xml:space="preserve"> Environmental footprint of paper manufacture by scenario arm, at national scale (77,500 care episodes per year). Greenhouse-gas emissions and water consumption are shown in separate panels because they are measured on different scales. Bars are the point estimate; whiskers span the full published factor range, which is the dominant uncertainty in both indicators. At departmental scale (2,000 episodes per year) the values are 1/38.75 of those shown.</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methods.</w:t>
      </w:r>
      <w:r>
        <w:t xml:space="preserve"> Derivation of the physical, retention, handling-time and environmental quantities, and the statistical and computational methods.</w:t>
      </w:r>
    </w:p>
    <w:p>
      <w:pPr>
        <w:spacing w:after="160" w:line="320"/>
      </w:pPr>
      <w:r>
        <w:rPr>
          <w:b/>
          <w:bCs/>
        </w:rPr>
        <w:t xml:space="preserve">Supplementary table S1.</w:t>
      </w:r>
      <w:r>
        <w:t xml:space="preserve"> Model parameters, base-case values, sensitivity ranges and sources.</w:t>
      </w:r>
    </w:p>
    <w:p>
      <w:pPr>
        <w:spacing w:after="160" w:line="320"/>
      </w:pPr>
      <w:r>
        <w:rPr>
          <w:b/>
          <w:bCs/>
        </w:rPr>
        <w:t xml:space="preserve">Supplementary table S2.</w:t>
      </w:r>
      <w:r>
        <w:t xml:space="preserve"> Full cost, staff-time, space and environmental breakdown by scenario, at departmental and national scale.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2026-09-06T16:39:23.997Z</dcterms:created>
  <dcterms:modified xsi:type="dcterms:W3CDTF">2026-09-06T16:39:23.997Z</dcterms:modified>
</cp:coreProperties>
</file>

<file path=docProps/custom.xml><?xml version="1.0" encoding="utf-8"?>
<Properties xmlns="http://schemas.openxmlformats.org/officeDocument/2006/custom-properties" xmlns:vt="http://schemas.openxmlformats.org/officeDocument/2006/docPropsVTypes"/>
</file>