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/>
      </w:pPr>
      <w:r>
        <w:rPr>
          <w:b/>
          <w:sz w:val="26"/>
        </w:rPr>
        <w:t>Rigorózus bírálat</w:t>
      </w:r>
    </w:p>
    <w:p>
      <w:r>
        <w:rPr>
          <w:b w:val="0"/>
        </w:rPr>
      </w:r>
      <w:r>
        <w:rPr>
          <w:b/>
        </w:rPr>
        <w:t>Kézirat:</w:t>
      </w:r>
      <w:r>
        <w:rPr>
          <w:b w:val="0"/>
        </w:rPr>
        <w:t xml:space="preserve"> Inkretin-alapú terápiák a gyermeknőgyógyászati praxisban: a GLP-1 receptor agonisták hatása a serdülőkori reproduktív axisra</w:t>
      </w:r>
    </w:p>
    <w:p>
      <w:r>
        <w:rPr>
          <w:b w:val="0"/>
        </w:rPr>
      </w:r>
      <w:r>
        <w:rPr>
          <w:b/>
        </w:rPr>
        <w:t>Közleményfajta:</w:t>
      </w:r>
      <w:r>
        <w:rPr>
          <w:b w:val="0"/>
        </w:rPr>
        <w:t xml:space="preserve"> összefoglaló (áttekintő) közlemény</w:t>
      </w:r>
    </w:p>
    <w:p>
      <w:r>
        <w:rPr>
          <w:b w:val="0"/>
        </w:rPr>
      </w:r>
      <w:r>
        <w:rPr>
          <w:b/>
        </w:rPr>
        <w:t>Célfolyóirat:</w:t>
      </w:r>
      <w:r>
        <w:rPr>
          <w:b w:val="0"/>
        </w:rPr>
        <w:t xml:space="preserve"> Magyar Nőorvosok Lapja</w:t>
      </w:r>
    </w:p>
    <w:p>
      <w:r>
        <w:rPr>
          <w:b w:val="0"/>
        </w:rPr>
      </w:r>
      <w:r>
        <w:rPr>
          <w:b/>
        </w:rPr>
        <w:t>A bírálat dátuma:</w:t>
      </w:r>
      <w:r>
        <w:rPr>
          <w:b w:val="0"/>
        </w:rPr>
        <w:t xml:space="preserve"> 2026-09-11</w:t>
      </w:r>
    </w:p>
    <w:p>
      <w:pPr>
        <w:spacing w:before="240"/>
      </w:pPr>
      <w:r>
        <w:rPr>
          <w:b/>
          <w:sz w:val="24"/>
        </w:rPr>
        <w:t>1. Összefoglaló vélemény</w:t>
      </w:r>
    </w:p>
    <w:p>
      <w:r>
        <w:rPr>
          <w:b w:val="0"/>
        </w:rPr>
        <w:t>A kézirat jól strukturált, olvasható, és valódi klinikai résre irányul: a gyermeknőgyógyász nem kapja meg máshonnan azt a szempontrendszert, amely az inkretin-kezelést a reproduktív tengely felől nézi. A bizonyítékok kezelése alapvetően korrekt: a szerző következetesen elkülöníti a randomizált testsúlyadatot a felnőttkori PCOS-adatok extrapolációjától, és több helyen kimondja, hogy a serdülőkori reproduktív bizonyíték hiányzik. Ez a kézirat legnagyobb erénye, és ez az, ami megkülönbözteti a téma szokásos, lelkes áttekintéseitől.</w:t>
      </w:r>
    </w:p>
    <w:p>
      <w:r>
        <w:rPr>
          <w:b w:val="0"/>
        </w:rPr>
        <w:t xml:space="preserve">Ugyanakkor a kézirat jelen formájában </w:t>
      </w:r>
      <w:r>
        <w:rPr>
          <w:b/>
        </w:rPr>
        <w:t>jelentős átdolgozás nélkül nem közölhető</w:t>
      </w:r>
      <w:r>
        <w:rPr>
          <w:b w:val="0"/>
        </w:rPr>
        <w:t>. Három okból: (a) az egészséggazdasági rész olyan számszerű precizitást sugall, amelyet a mögötte álló modell nem hordoz, és érzékenységi elemzés nélkül tudományosan nem védhető; (b) a biztonságossági fejezet hiányos, és éppen a serdülőkorra nézve legsúlyosabb két jelzést hagyja ki; (c) a módszertani bekezdés több rigort ígér, mint amennyit a munka teljesít.</w:t>
      </w:r>
    </w:p>
    <w:p>
      <w:r>
        <w:rPr>
          <w:b w:val="0"/>
        </w:rPr>
      </w:r>
      <w:r>
        <w:rPr>
          <w:b/>
        </w:rPr>
        <w:t>Javaslat: jelentős átdolgozás (major revision).</w:t>
      </w:r>
      <w:r>
        <w:rPr>
          <w:b w:val="0"/>
        </w:rPr>
      </w:r>
    </w:p>
    <w:p>
      <w:pPr>
        <w:spacing w:before="240"/>
      </w:pPr>
      <w:r>
        <w:rPr>
          <w:b/>
          <w:sz w:val="24"/>
        </w:rPr>
        <w:t>2. Lényegi kifogások</w:t>
      </w:r>
    </w:p>
    <w:p>
      <w:pPr>
        <w:spacing w:before="160"/>
      </w:pPr>
      <w:r>
        <w:rPr>
          <w:b/>
          <w:sz w:val="22"/>
        </w:rPr>
        <w:t>2.1 Az egészséggazdasági modell nem védhető a jelenlegi formájában — *kritikus*</w:t>
      </w:r>
    </w:p>
    <w:p>
      <w:r>
        <w:rPr>
          <w:b w:val="0"/>
        </w:rPr>
        <w:t xml:space="preserve">A 2. és 3. táblázat, valamint a 3. ábra tizedesjegyre megadott értékeket közöl (118,9 ezer €/fő; 47,5 ezer €/fő; 582 elhárított esemény) egy olyan modellből, amelynek </w:t>
      </w:r>
      <w:r>
        <w:rPr>
          <w:b/>
        </w:rPr>
        <w:t>minden bemenő paramétere feltételezés</w:t>
      </w:r>
      <w:r>
        <w:rPr>
          <w:b w:val="0"/>
        </w:rPr>
        <w:t>. A szerző ezt becsületesen jelzi a lábjegyzetekben, de a jelzés nem oldja fel az ellentmondást: a tizedesjegy azt kommunikálja, amit a lábjegyzet tagad. A jelenlegi formában a bíráló-olvasó vagy elhiszi a számokat (és akkor félrevezetve lett), vagy nem hiszi el (és akkor az egész fejezet súlytalan).</w:t>
      </w:r>
    </w:p>
    <w:p>
      <w:r>
        <w:rPr>
          <w:b w:val="0"/>
        </w:rPr>
      </w:r>
      <w:r>
        <w:rPr>
          <w:b/>
        </w:rPr>
        <w:t>Elvárások:</w:t>
      </w:r>
      <w:r>
        <w:rPr>
          <w:b w:val="0"/>
        </w:rPr>
      </w:r>
    </w:p>
    <w:p>
      <w:r>
        <w:rPr>
          <w:b w:val="0"/>
        </w:rPr>
        <w:t xml:space="preserve">1. </w:t>
      </w:r>
      <w:r>
        <w:rPr>
          <w:b/>
        </w:rPr>
        <w:t>Érzékenységi elemzés kötelező.</w:t>
      </w:r>
      <w:r>
        <w:rPr>
          <w:b w:val="0"/>
        </w:rPr>
        <w:t xml:space="preserve"> Legalább egyirányú érzékenységi vizsgálat a három kulcsparaméterre: a kezelési hatás mértéke (jelenleg fix 60%), a gyógyszerár, és a diszkontráta. Tornádódiagram vagy legalább egy min–max sáv a 3. táblázatban.</w:t>
      </w:r>
    </w:p>
    <w:p>
      <w:r>
        <w:rPr>
          <w:b w:val="0"/>
        </w:rPr>
        <w:t xml:space="preserve">2. </w:t>
      </w:r>
      <w:r>
        <w:rPr>
          <w:b/>
        </w:rPr>
        <w:t>Diszkontálás.</w:t>
      </w:r>
      <w:r>
        <w:rPr>
          <w:b w:val="0"/>
        </w:rPr>
        <w:t xml:space="preserve"> Egy 52 éves időhorizontú modell diszkontálás nélkül nem elfogadható. Legalább 3%-os éves diszkontálás bemutatása, a diszkontálatlan érték melletti feltüntetéssel.</w:t>
      </w:r>
    </w:p>
    <w:p>
      <w:r>
        <w:rPr>
          <w:b w:val="0"/>
        </w:rPr>
        <w:t xml:space="preserve">3. </w:t>
      </w:r>
      <w:r>
        <w:rPr>
          <w:b/>
        </w:rPr>
        <w:t>A pontosság visszavétele.</w:t>
      </w:r>
      <w:r>
        <w:rPr>
          <w:b w:val="0"/>
        </w:rPr>
        <w:t xml:space="preserve"> Az összes származtatott érték kerekítése (pl. „mintegy 120 ezer €/fő", „körülbelül 580 esemény"), vagy tartomány megadása.</w:t>
      </w:r>
    </w:p>
    <w:p>
      <w:r>
        <w:rPr>
          <w:b w:val="0"/>
        </w:rPr>
        <w:t xml:space="preserve">4. </w:t>
      </w:r>
      <w:r>
        <w:rPr>
          <w:b/>
        </w:rPr>
        <w:t>Adherencia-paraméter.</w:t>
      </w:r>
      <w:r>
        <w:rPr>
          <w:b w:val="0"/>
        </w:rPr>
        <w:t xml:space="preserve"> A modell 52 éven át folyamatos kezelést feltételez. Ez valótlan: a valós perzisztencia GLP-1RA mellett egy éven belül meredeken csökken. A modellnek tartalmaznia kell adherencia-paramétert, vagy a feltételezést az eredmény *felső korlátjaként* kell bemutatni.</w:t>
      </w:r>
    </w:p>
    <w:p>
      <w:r>
        <w:rPr>
          <w:b w:val="0"/>
        </w:rPr>
        <w:t xml:space="preserve">5. </w:t>
      </w:r>
      <w:r>
        <w:rPr>
          <w:b/>
        </w:rPr>
        <w:t>Perspektíva megnevezése.</w:t>
      </w:r>
      <w:r>
        <w:rPr>
          <w:b w:val="0"/>
        </w:rPr>
        <w:t xml:space="preserve"> Finanszírozói, társadalmi vagy betegszintű perspektíva? A termelékenységi veszteség szerepel-e? Jelenleg nem derül ki.</w:t>
      </w:r>
    </w:p>
    <w:p>
      <w:r>
        <w:rPr>
          <w:b w:val="0"/>
        </w:rPr>
        <w:t xml:space="preserve">6. </w:t>
      </w:r>
      <w:r>
        <w:rPr>
          <w:b/>
        </w:rPr>
        <w:t>Magyar kontextus.</w:t>
      </w:r>
      <w:r>
        <w:rPr>
          <w:b w:val="0"/>
        </w:rPr>
        <w:t xml:space="preserve"> A kézirat a Magyar Nőorvosok Lapjába készül, de a költségek európai átlagáron, euróban szerepelnek, magyar finanszírozási (NEAK) vonatkozás nélkül. Legalább egy bekezdés szükséges a hazai támogatási helyzetről, vagy a modell magyar árszintre történő átskálázásáról.</w:t>
      </w:r>
    </w:p>
    <w:p>
      <w:pPr>
        <w:spacing w:before="160"/>
      </w:pPr>
      <w:r>
        <w:rPr>
          <w:b/>
          <w:sz w:val="22"/>
        </w:rPr>
        <w:t>2.2 A biztonságossági fejezet hiányos — *kritikus*</w:t>
      </w:r>
    </w:p>
    <w:p>
      <w:r>
        <w:rPr>
          <w:b w:val="0"/>
        </w:rPr>
        <w:t>A „Mellékhatások" alfejezet a gastrointestinalis panaszokat, az epekövességet és a MEN2-kontraindikációt említi. Két, a serdülőkori alkalmazás szempontjából súlyosabb jelzés hiányzik:</w:t>
      </w:r>
    </w:p>
    <w:p>
      <w:r>
        <w:rPr>
          <w:b w:val="0"/>
        </w:rPr>
        <w:t xml:space="preserve">1. </w:t>
      </w:r>
      <w:r>
        <w:rPr>
          <w:b/>
        </w:rPr>
        <w:t>Szuicidalitás / pszichiátriai események.</w:t>
      </w:r>
      <w:r>
        <w:rPr>
          <w:b w:val="0"/>
        </w:rPr>
        <w:t xml:space="preserve"> A hivatkozott SCALE Teens vizsgálatban [8] egy befejezett öngyilkosság történt a liraglutid-csoportban (a vizsgáló megítélése szerint valószínűleg nem kapcsolódott a kezeléshez). Egy serdülőkorra fókuszáló összefoglalóból ennek a kihagyása nem védhető, még akkor sem, ha az ok-okozati kapcsolat nem igazolt. A kézirat a hivatkozott forrás egy releváns eredményét nem közli.</w:t>
      </w:r>
    </w:p>
    <w:p>
      <w:r>
        <w:rPr>
          <w:b w:val="0"/>
        </w:rPr>
        <w:t xml:space="preserve">2. </w:t>
      </w:r>
      <w:r>
        <w:rPr>
          <w:b/>
        </w:rPr>
        <w:t>Pancreatitis.</w:t>
      </w:r>
      <w:r>
        <w:rPr>
          <w:b w:val="0"/>
        </w:rPr>
        <w:t xml:space="preserve"> Nem szerepel a szövegben, pedig az osztályhatás ismert és a betegtájékoztatás része.</w:t>
      </w:r>
    </w:p>
    <w:p>
      <w:r>
        <w:rPr>
          <w:b w:val="0"/>
        </w:rPr>
      </w:r>
      <w:r>
        <w:rPr>
          <w:b/>
        </w:rPr>
        <w:t>Elvárás:</w:t>
      </w:r>
      <w:r>
        <w:rPr>
          <w:b w:val="0"/>
        </w:rPr>
        <w:t xml:space="preserve"> külön, tételes biztonságossági alfejezet, amely legalább a gastrointestinalis eseményeket, az epeúti szövődményt, a pancreatitist, a pszichiátriai/szuicidalitási monitorozás szükségességét és a kontraindikációkat tárgyalja, mindegyiket a forrásvizsgálatban közölt gyakorisággal.</w:t>
      </w:r>
    </w:p>
    <w:p>
      <w:pPr>
        <w:spacing w:before="160"/>
      </w:pPr>
      <w:r>
        <w:rPr>
          <w:b/>
          <w:sz w:val="22"/>
        </w:rPr>
        <w:t>2.3 A fogamzásgátlás tárgyalása gyógyszerkölcsönhatás-szempontból hiányos — *lényegi*</w:t>
      </w:r>
    </w:p>
    <w:p>
      <w:r>
        <w:rPr>
          <w:b w:val="0"/>
        </w:rPr>
        <w:t>A kézirat helyesen teszi a fogamzásgátlást a gondozás középpontjába, de kizárólag *indikációs* oldalról. Két farmakológiai kérdés kimarad:</w:t>
      </w:r>
    </w:p>
    <w:p>
      <w:r>
        <w:rPr>
          <w:b w:val="0"/>
        </w:rPr>
        <w:t xml:space="preserve">1. </w:t>
      </w:r>
      <w:r>
        <w:rPr>
          <w:b/>
        </w:rPr>
        <w:t>A gyomorürülés lassulásának hatása az orális fogamzásgátló felszívódására.</w:t>
      </w:r>
      <w:r>
        <w:rPr>
          <w:b w:val="0"/>
        </w:rPr>
        <w:t xml:space="preserve"> Ezt hatóanyagonként külön kell tárgyalni, és az érvényes alkalmazási előírás alapján kell megadni — nem osztályszinten általánosítva. Különösen a GIP/GLP-1 kettős agonista esetében ellenőrizendő, hogy szükséges-e nem orális módszerre váltás vagy kiegészítő védelem a kezelés indításakor és dózisemeléskor.</w:t>
      </w:r>
    </w:p>
    <w:p>
      <w:r>
        <w:rPr>
          <w:b w:val="0"/>
        </w:rPr>
        <w:t xml:space="preserve">2. </w:t>
      </w:r>
      <w:r>
        <w:rPr>
          <w:b/>
        </w:rPr>
        <w:t>A washout konkrét időtartama.</w:t>
      </w:r>
      <w:r>
        <w:rPr>
          <w:b w:val="0"/>
        </w:rPr>
        <w:t xml:space="preserve"> A kézirat „időben történő elhagyást" ír. Ez használhatatlan a rendelőben. A felezési időből levezetett, hatóanyagonkénti, konkrét hetekben megadott intervallum szükséges, az alkalmazási előírás megfogalmazásával összevetve.</w:t>
      </w:r>
    </w:p>
    <w:p>
      <w:r>
        <w:rPr>
          <w:b w:val="0"/>
        </w:rPr>
        <w:t>Ez a kézirat legnagyobb gyakorlati hozzáadott értéke lehetne; jelenleg elveszik.</w:t>
      </w:r>
    </w:p>
    <w:p>
      <w:pPr>
        <w:spacing w:before="160"/>
      </w:pPr>
      <w:r>
        <w:rPr>
          <w:b/>
          <w:sz w:val="22"/>
        </w:rPr>
        <w:t>2.4 A módszertani bekezdés több rigort ígér, mint amennyi teljesül — *lényegi*</w:t>
      </w:r>
    </w:p>
    <w:p>
      <w:r>
        <w:rPr>
          <w:b w:val="0"/>
        </w:rPr>
        <w:t>A „Módszertan" bekezdés adatbázist, keresőkifejezéseket és időhatárt közöl, de nem közli a találatszámot, a szűrési lépéseket, a befogadási és kizárási kritériumokat operacionalizált formában, sem azt, hogy hány bíráló végezte a szűrést. Ez félúton van a narratív és a szisztematikus áttekintés között, és így egyiknek sem felel meg.</w:t>
      </w:r>
    </w:p>
    <w:p>
      <w:r>
        <w:rPr>
          <w:b w:val="0"/>
        </w:rPr>
      </w:r>
      <w:r>
        <w:rPr>
          <w:b/>
        </w:rPr>
        <w:t>Elvárás:</w:t>
      </w:r>
      <w:r>
        <w:rPr>
          <w:b w:val="0"/>
        </w:rPr>
        <w:t xml:space="preserve"> vagy (a) a bekezdés visszaminősítése egyértelműen narratív keresésleírássá („nem szisztematikus keresés" kimondásával), vagy (b) a PRISMA 2020 szerinti minimális elemek pótlása. Az (a) változat teljesen elfogadható egy áttekintő közleménynél, de ki kell mondani.</w:t>
      </w:r>
    </w:p>
    <w:p>
      <w:pPr>
        <w:spacing w:before="160"/>
      </w:pPr>
      <w:r>
        <w:rPr>
          <w:b/>
          <w:sz w:val="22"/>
        </w:rPr>
        <w:t>2.5 Az „öt hatásdomén" keretrendszer eredete nem tisztázott — *lényegi*</w:t>
      </w:r>
    </w:p>
    <w:p>
      <w:r>
        <w:rPr>
          <w:b w:val="0"/>
        </w:rPr>
        <w:t>A testsúly / szteroid / nemi érés / gyulladás / longevity felosztás elegáns és jól tanítható, de nem a bizonyítékokból következik, hanem a szerző strukturálási döntése. Így viszont a keret maga kutatási eredménynek tűnhet.</w:t>
      </w:r>
    </w:p>
    <w:p>
      <w:r>
        <w:rPr>
          <w:b w:val="0"/>
        </w:rPr>
      </w:r>
      <w:r>
        <w:rPr>
          <w:b/>
        </w:rPr>
        <w:t>Elvárás:</w:t>
      </w:r>
      <w:r>
        <w:rPr>
          <w:b w:val="0"/>
        </w:rPr>
        <w:t xml:space="preserve"> egy mondat a Bevezetésben, amely kimondja, hogy a felosztás didaktikai keret, nem validált taxonómia.</w:t>
      </w:r>
    </w:p>
    <w:p>
      <w:pPr>
        <w:spacing w:before="160"/>
      </w:pPr>
      <w:r>
        <w:rPr>
          <w:b/>
          <w:sz w:val="22"/>
        </w:rPr>
        <w:t>2.6 A korai menarche állítás közvetlen hivatkozás nélkül szerepel — *lényegi*</w:t>
      </w:r>
    </w:p>
    <w:p>
      <w:r>
        <w:rPr>
          <w:b w:val="0"/>
        </w:rPr>
        <w:t xml:space="preserve">A kézirat többször állítja, hogy az obesitas korai adrenarchéval és korai menarchéval jár (Bevezetés, „8–11 éves sáv", 2. ábra B pálya). A megfelelő helyen azonban a [19] hivatkozás áll, amely </w:t>
      </w:r>
      <w:r>
        <w:rPr>
          <w:b/>
        </w:rPr>
        <w:t>kis súllyal születettek</w:t>
      </w:r>
      <w:r>
        <w:rPr>
          <w:b w:val="0"/>
        </w:rPr>
        <w:t xml:space="preserve"> pubertását tárgyalja — ez analógia, nem bizonyíték a vizsgált állításra.</w:t>
      </w:r>
    </w:p>
    <w:p>
      <w:r>
        <w:rPr>
          <w:b w:val="0"/>
        </w:rPr>
      </w:r>
      <w:r>
        <w:rPr>
          <w:b/>
        </w:rPr>
        <w:t>Elvárás:</w:t>
      </w:r>
      <w:r>
        <w:rPr>
          <w:b w:val="0"/>
        </w:rPr>
        <w:t xml:space="preserve"> közvetlen hivatkozás az elhízás és a menarche időzítése közötti összefüggésre (kohorsz- vagy metaanalízis-szintű forrás), vagy az állítás gyengítése. Jelenlegi formájában ez a kézirat legsérülékenyebb hivatkozási pontja.</w:t>
      </w:r>
    </w:p>
    <w:p>
      <w:pPr>
        <w:spacing w:before="160"/>
      </w:pPr>
      <w:r>
        <w:rPr>
          <w:b/>
          <w:sz w:val="22"/>
        </w:rPr>
        <w:t>2.7 A közvetlen gonadális út egyetlen állatkísérleten nyugszik — *lényegi*</w:t>
      </w:r>
    </w:p>
    <w:p>
      <w:r>
        <w:rPr>
          <w:b w:val="0"/>
        </w:rPr>
        <w:t>A [4] patkánykísérlet a mechanizmus-fejezet és az 1. ábra tartóoszlopa, és a Következtetések is visszautal rá. Egyetlen, 2015-ös, fajidegen kísérlet nem elég egy ilyen súlyú szerkezeti elemhez.</w:t>
      </w:r>
    </w:p>
    <w:p>
      <w:r>
        <w:rPr>
          <w:b w:val="0"/>
        </w:rPr>
      </w:r>
      <w:r>
        <w:rPr>
          <w:b/>
        </w:rPr>
        <w:t>Elvárás:</w:t>
      </w:r>
      <w:r>
        <w:rPr>
          <w:b w:val="0"/>
        </w:rPr>
        <w:t xml:space="preserve"> vagy további preklinikai alátámasztás (humán szöveti GLP-1R-expressziós adat, más faj, ismételt kísérlet), vagy az 1. ábrán és a szövegben a „közvetlen gonadális út" egyértelmű hipotézis-státuszba helyezése.</w:t>
      </w:r>
    </w:p>
    <w:p>
      <w:pPr>
        <w:spacing w:before="160"/>
      </w:pPr>
      <w:r>
        <w:rPr>
          <w:b/>
          <w:sz w:val="22"/>
        </w:rPr>
        <w:t>2.8 Az 1. táblázat felnőtt vizsgálatot sorol egy gyermekkori táblázatba — *lényegi*</w:t>
      </w:r>
    </w:p>
    <w:p>
      <w:r>
        <w:rPr>
          <w:b w:val="0"/>
        </w:rPr>
        <w:t>A SURMOUNT post hoc sor [11] felnőtt populációt ír le („korai kezdetű obesitas, dg. &lt; 25 év"), a táblázat címe viszont „gyermek- és serdülőkori elhízás kezelésében". Ez félreolvasható.</w:t>
      </w:r>
    </w:p>
    <w:p>
      <w:r>
        <w:rPr>
          <w:b w:val="0"/>
        </w:rPr>
      </w:r>
      <w:r>
        <w:rPr>
          <w:b/>
        </w:rPr>
        <w:t>Elvárás:</w:t>
      </w:r>
      <w:r>
        <w:rPr>
          <w:b w:val="0"/>
        </w:rPr>
        <w:t xml:space="preserve"> a sor kiemelése a táblázatból egy külön, „a korosztályon kívüli, de releváns bizonyíték" megjelölésű blokkba, vagy törlése.</w:t>
      </w:r>
    </w:p>
    <w:p>
      <w:pPr>
        <w:spacing w:before="160"/>
      </w:pPr>
      <w:r>
        <w:rPr>
          <w:b/>
          <w:sz w:val="22"/>
        </w:rPr>
        <w:t>2.9 Az endometriosis-fejezet forrásbázisa túl vékony — *kisebb, de érdemi*</w:t>
      </w:r>
    </w:p>
    <w:p>
      <w:r>
        <w:rPr>
          <w:b w:val="0"/>
        </w:rPr>
        <w:t>Az endometriosis-állítás egyetlen táplálkozásterápiás áttekintésre [28] támaszkodik. Az endometriosis és a BMI fordított összefüggése, illetve a súlyosabb lefolyás obesitasban, önálló epidemiológiai forrást érdemel.</w:t>
      </w:r>
    </w:p>
    <w:p>
      <w:pPr>
        <w:spacing w:before="240"/>
      </w:pPr>
      <w:r>
        <w:rPr>
          <w:b/>
          <w:sz w:val="24"/>
        </w:rPr>
        <w:t>3. Kisebb kifogások</w:t>
      </w:r>
    </w:p>
    <w:p>
      <w:r>
        <w:rPr>
          <w:b w:val="0"/>
        </w:rPr>
        <w:t xml:space="preserve">1. </w:t>
      </w:r>
      <w:r>
        <w:rPr>
          <w:b/>
        </w:rPr>
        <w:t>A [26] GBD-hivatkozás dekoratív.</w:t>
      </w:r>
      <w:r>
        <w:rPr>
          <w:b w:val="0"/>
        </w:rPr>
        <w:t xml:space="preserve"> A „a metabolikus rizikófaktorok súlya növekszik" állítás túl általános ahhoz, hogy egy 1377 szerzős GBD-elemzést indokoljon. Vagy konkrét, a kéziratban idézett GBD-adatra van szükség, vagy a hivatkozás elhagyható.</w:t>
      </w:r>
    </w:p>
    <w:p>
      <w:r>
        <w:rPr>
          <w:b w:val="0"/>
        </w:rPr>
        <w:t xml:space="preserve">2. </w:t>
      </w:r>
      <w:r>
        <w:rPr>
          <w:b/>
        </w:rPr>
        <w:t>A 2. táblázat „Összesen" sora</w:t>
      </w:r>
      <w:r>
        <w:rPr>
          <w:b w:val="0"/>
        </w:rPr>
        <w:t xml:space="preserve"> különböző kimenetek eseményszámait adja össze. A lábjegyzet ezt jelzi, a szöveg viszont az összeget („582 megbetegedést hárít el") headline-értékként használja. A szövegben is szerepeljen a megszorítás.</w:t>
      </w:r>
    </w:p>
    <w:p>
      <w:r>
        <w:rPr>
          <w:b w:val="0"/>
        </w:rPr>
        <w:t xml:space="preserve">3. </w:t>
      </w:r>
      <w:r>
        <w:rPr>
          <w:b/>
        </w:rPr>
        <w:t>A „longevity" angol szó</w:t>
      </w:r>
      <w:r>
        <w:rPr>
          <w:b w:val="0"/>
        </w:rPr>
        <w:t xml:space="preserve"> magyar nyelvű közleményben magyarázat nélkül szerepel a fejezetcímben. Javasolt: „élettartam-kockázat" vagy „egészségben töltött évek".</w:t>
      </w:r>
    </w:p>
    <w:p>
      <w:r>
        <w:rPr>
          <w:b w:val="0"/>
        </w:rPr>
        <w:t xml:space="preserve">4. </w:t>
      </w:r>
      <w:r>
        <w:rPr>
          <w:b/>
        </w:rPr>
        <w:t>Az [5] hivatkozás (Biomedicines 2026)</w:t>
      </w:r>
      <w:r>
        <w:rPr>
          <w:b w:val="0"/>
        </w:rPr>
        <w:t xml:space="preserve"> egy nagyon friss, széles spektrumú áttekintés, amelyet a kézirat három különböző állításhoz is felhasznál. Egy ilyen forrás nem hordozhat ennyi terhet; a konkrét állításokhoz elsődleges forrás szükséges.</w:t>
      </w:r>
    </w:p>
    <w:p>
      <w:r>
        <w:rPr>
          <w:b w:val="0"/>
        </w:rPr>
        <w:t xml:space="preserve">5. </w:t>
      </w:r>
      <w:r>
        <w:rPr>
          <w:b/>
        </w:rPr>
        <w:t>A rövidítésjegyzék hiányzik.</w:t>
      </w:r>
      <w:r>
        <w:rPr>
          <w:b w:val="0"/>
        </w:rPr>
        <w:t xml:space="preserve"> Az ábraaláírásokban a rövidítések fel vannak oldva, a szövegben részben igen, részben nem (MASLD, hsCRP, SDS).</w:t>
      </w:r>
    </w:p>
    <w:p>
      <w:r>
        <w:rPr>
          <w:b w:val="0"/>
        </w:rPr>
        <w:t xml:space="preserve">6. </w:t>
      </w:r>
      <w:r>
        <w:rPr>
          <w:b/>
        </w:rPr>
        <w:t>Színhasználat.</w:t>
      </w:r>
      <w:r>
        <w:rPr>
          <w:b w:val="0"/>
        </w:rPr>
        <w:t xml:space="preserve"> Az ábrák színesek; a szerző jelzi, hogy fekete-fehérben is értelmezhetők. Ezt ellenőrizni kell szürkeárnyalatos próbanyomaton, különösen a 3. ábra (b) paneljén, ahol négy vonal fut egymáshoz közel.</w:t>
      </w:r>
    </w:p>
    <w:p>
      <w:pPr>
        <w:spacing w:before="240"/>
      </w:pPr>
      <w:r>
        <w:rPr>
          <w:b/>
          <w:sz w:val="24"/>
        </w:rPr>
        <w:t>4. Amit a kézirat jól csinál (megtartandó)</w:t>
      </w:r>
    </w:p>
    <w:p>
      <w:r>
        <w:rPr>
          <w:b w:val="0"/>
        </w:rPr>
        <w:t>- Az extrapoláció következetes megjelölése. A 4.2 pont („a bizonyítékok szerkezetéből két hiány rajzolódik ki") a kézirat legerősebb bekezdése: pontosan azonosítja, hogy a bizonytalanság nem ellentmondásból, hanem a kérdés fel nem tevéséből ered.</w:t>
      </w:r>
    </w:p>
    <w:p>
      <w:r>
        <w:rPr>
          <w:b w:val="0"/>
        </w:rPr>
        <w:t>- Az életút-flow-chart végpontonként eltérő bizonyítéki alapjának kimondása. Ez ritkán szerepel hasonló ábrák mellett.</w:t>
      </w:r>
    </w:p>
    <w:p>
      <w:r>
        <w:rPr>
          <w:b w:val="0"/>
        </w:rPr>
        <w:t>- Az a felismerés, hogy a ciklusrendeződés egyszerre terápiás siker és fogamzásgátlási kockázat. Ez a kézirat legeredetibb klinikai gondolata, és érdemes erősebben kiemelni — akár az Összefoglalásban is.</w:t>
      </w:r>
    </w:p>
    <w:p>
      <w:r>
        <w:rPr>
          <w:b w:val="0"/>
        </w:rPr>
        <w:t>- A „nem kúra, hanem krónikus kezelés" üzenet.</w:t>
      </w:r>
    </w:p>
    <w:p>
      <w:pPr>
        <w:spacing w:before="240"/>
      </w:pPr>
      <w:r>
        <w:rPr>
          <w:b/>
          <w:sz w:val="24"/>
        </w:rPr>
        <w:t>5. Formai megfelelés a szerzői útmutatónak</w:t>
      </w:r>
    </w:p>
    <w:p>
      <w:pPr>
        <w:spacing w:after="40"/>
      </w:pPr>
      <w:r>
        <w:rPr>
          <w:sz w:val="17"/>
        </w:rPr>
        <w:t>Követelmény | Előírás | Kézirat | Értékelés</w:t>
      </w:r>
    </w:p>
    <w:p>
      <w:pPr>
        <w:spacing w:after="40"/>
      </w:pPr>
      <w:r>
        <w:rPr>
          <w:sz w:val="17"/>
        </w:rPr>
        <w:t>Szöveg terjedelme | ≤ 3500 szó | ~2990 szó | megfelel</w:t>
      </w:r>
    </w:p>
    <w:p>
      <w:pPr>
        <w:spacing w:after="40"/>
      </w:pPr>
      <w:r>
        <w:rPr>
          <w:sz w:val="17"/>
        </w:rPr>
        <w:t>Összefoglalás | ≤ 350 szó, áttekintésnél tagolás nélkül | 285 szó, folyamatos | megfelel</w:t>
      </w:r>
    </w:p>
    <w:p>
      <w:pPr>
        <w:spacing w:after="40"/>
      </w:pPr>
      <w:r>
        <w:rPr>
          <w:sz w:val="17"/>
        </w:rPr>
        <w:t>Kulcsszavak | 3–5 | 5 | megfelel</w:t>
      </w:r>
    </w:p>
    <w:p>
      <w:pPr>
        <w:spacing w:after="40"/>
      </w:pPr>
      <w:r>
        <w:rPr>
          <w:sz w:val="17"/>
        </w:rPr>
        <w:t>Hivatkozások száma | összefoglalónál ≤ 80 | 33 | megfelel</w:t>
      </w:r>
    </w:p>
    <w:p>
      <w:pPr>
        <w:spacing w:after="40"/>
      </w:pPr>
      <w:r>
        <w:rPr>
          <w:sz w:val="17"/>
        </w:rPr>
        <w:t>Hivatkozás formátuma | szögletes zárójel, előfordulási sorrend | teljesül | megfelel</w:t>
      </w:r>
    </w:p>
    <w:p>
      <w:pPr>
        <w:spacing w:after="40"/>
      </w:pPr>
      <w:r>
        <w:rPr>
          <w:sz w:val="17"/>
        </w:rPr>
        <w:t>Szerzőfeltüntetés | &gt; 3 szerzőnél „et al." | teljesül | megfelel</w:t>
      </w:r>
    </w:p>
    <w:p>
      <w:pPr>
        <w:spacing w:after="40"/>
      </w:pPr>
      <w:r>
        <w:rPr>
          <w:sz w:val="17"/>
        </w:rPr>
        <w:t>Betűtípus, sorköz, margó | TNR 12, dupla, 3 cm | teljesül | megfelel</w:t>
      </w:r>
    </w:p>
    <w:p>
      <w:pPr>
        <w:spacing w:after="40"/>
      </w:pPr>
      <w:r>
        <w:rPr>
          <w:sz w:val="17"/>
        </w:rPr>
        <w:t>Oldalszámozás | folyamatos, középen felül | teljesül | megfelel</w:t>
      </w:r>
    </w:p>
    <w:p>
      <w:pPr>
        <w:spacing w:after="40"/>
      </w:pPr>
      <w:r>
        <w:rPr>
          <w:sz w:val="17"/>
        </w:rPr>
        <w:t>Angol cím, összefoglaló, kulcsszavak | kötelező | megvan | megfelel</w:t>
      </w:r>
    </w:p>
    <w:p>
      <w:pPr>
        <w:spacing w:after="40"/>
      </w:pPr>
      <w:r>
        <w:rPr>
          <w:sz w:val="17"/>
        </w:rPr>
        <w:t>Címoldal, levelezési adatok | kötelező | **kitöltendő** | hiányos</w:t>
      </w:r>
    </w:p>
    <w:p>
      <w:pPr>
        <w:spacing w:after="40"/>
      </w:pPr>
      <w:r>
        <w:rPr>
          <w:sz w:val="17"/>
        </w:rPr>
        <w:t>Érdekeltségi nyilatkozat | kötelező | megvan | megfelel</w:t>
      </w:r>
    </w:p>
    <w:p>
      <w:pPr>
        <w:spacing w:after="40"/>
      </w:pPr>
      <w:r>
        <w:rPr>
          <w:sz w:val="17"/>
        </w:rPr>
        <w:t>Ábrák | külön fájl, TIFF/JPEG, díszítés nélkül | teljesül | megfelel</w:t>
      </w:r>
    </w:p>
    <w:p>
      <w:r>
        <w:rPr>
          <w:b w:val="0"/>
        </w:rPr>
      </w:r>
      <w:r>
        <w:rPr>
          <w:b/>
        </w:rPr>
        <w:t>Bibliográfiai ellenőrzés:</w:t>
      </w:r>
      <w:r>
        <w:rPr>
          <w:b w:val="0"/>
        </w:rPr>
        <w:t xml:space="preserve"> a 33 hivatkozás mindegyike hat dimenzióban (DOI, első szerző, szerzőlista, folyóirat, kötet, oldalszám/cikkszám) plusz évszám szerint Crossref és PubMed ellen ellenőrizve, eltérés nélkül. Szövegbeli hivatkozás ↔ jegyzék kereszt-ellenőrzés: nincs idézetlen tétel, nincs jegyzékből hiányzó idézet, a számozás az első előfordulás sorrendjét követi.</w:t>
      </w:r>
    </w:p>
    <w:p>
      <w:pPr>
        <w:spacing w:before="240"/>
      </w:pPr>
      <w:r>
        <w:rPr>
          <w:b/>
          <w:sz w:val="24"/>
        </w:rPr>
        <w:t>6. A javítás javasolt sorrendje</w:t>
      </w:r>
    </w:p>
    <w:p>
      <w:r>
        <w:rPr>
          <w:b w:val="0"/>
        </w:rPr>
        <w:t>1. Érzékenységi elemzés és diszkontálás a gazdasági modellbe; a származtatott értékek kerekítése. *(2.1)*</w:t>
      </w:r>
    </w:p>
    <w:p>
      <w:r>
        <w:rPr>
          <w:b w:val="0"/>
        </w:rPr>
        <w:t>2. Önálló biztonságossági alfejezet, a szuicidalitási és pancreatitis-kérdéssel. *(2.2)*</w:t>
      </w:r>
    </w:p>
    <w:p>
      <w:r>
        <w:rPr>
          <w:b w:val="0"/>
        </w:rPr>
        <w:t>3. Hatóanyagonkénti washout-intervallum és a fogamzásgátló-interakció tisztázása. *(2.3)*</w:t>
      </w:r>
    </w:p>
    <w:p>
      <w:r>
        <w:rPr>
          <w:b w:val="0"/>
        </w:rPr>
        <w:t>4. A korai menarche állítás közvetlen hivatkozással történő alátámasztása. *(2.6)*</w:t>
      </w:r>
    </w:p>
    <w:p>
      <w:r>
        <w:rPr>
          <w:b w:val="0"/>
        </w:rPr>
        <w:t>5. A módszertani bekezdés státuszának kimondása. *(2.4)*</w:t>
      </w:r>
    </w:p>
    <w:p>
      <w:r>
        <w:rPr>
          <w:b w:val="0"/>
        </w:rPr>
        <w:t>6. Az 1. táblázat SURMOUNT-sorának elkülönítése. *(2.8)*</w:t>
      </w:r>
    </w:p>
    <w:p>
      <w:r>
        <w:rPr>
          <w:b w:val="0"/>
        </w:rPr>
        <w:t>7. Címoldal kitöltése, rövidítésjegyzék, szürkeárnyalatos ábrapróba.</w:t>
      </w:r>
    </w:p>
    <w:sectPr w:rsidR="00FC693F" w:rsidRPr="0006063C" w:rsidSect="00034616">
      <w:pgSz w:w="12240" w:h="15840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Rigorózus bírálat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