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b/>
          <w:sz w:val="26"/>
        </w:rPr>
        <w:t>6D bibliográfiai validáció és cit-ref kereszt-ellenőrzés</w:t>
      </w:r>
    </w:p>
    <w:p>
      <w:r>
        <w:rPr>
          <w:b w:val="0"/>
        </w:rPr>
      </w:r>
      <w:r>
        <w:rPr>
          <w:b/>
        </w:rPr>
        <w:t>Kézirat:</w:t>
      </w:r>
      <w:r>
        <w:rPr>
          <w:b w:val="0"/>
        </w:rPr>
        <w:t xml:space="preserve"> Inkretin-alapú terápiák a gyermeknőgyógyászati praxisban</w:t>
      </w:r>
    </w:p>
    <w:p>
      <w:r>
        <w:rPr>
          <w:b w:val="0"/>
        </w:rPr>
      </w:r>
      <w:r>
        <w:rPr>
          <w:b/>
        </w:rPr>
        <w:t>Források:</w:t>
      </w:r>
      <w:r>
        <w:rPr>
          <w:b w:val="0"/>
        </w:rPr>
        <w:t xml:space="preserve"> Crossref REST API és NCBI PubMed (esummary)</w:t>
      </w:r>
    </w:p>
    <w:p>
      <w:pPr>
        <w:spacing w:before="240"/>
      </w:pPr>
      <w:r>
        <w:rPr>
          <w:b/>
          <w:sz w:val="24"/>
        </w:rPr>
        <w:t>Összegzés</w:t>
      </w:r>
    </w:p>
    <w:p>
      <w:r>
        <w:rPr>
          <w:b w:val="0"/>
        </w:rPr>
        <w:t xml:space="preserve">- Ellenőrzött tételek: </w:t>
      </w:r>
      <w:r>
        <w:rPr>
          <w:b/>
        </w:rPr>
        <w:t>40</w:t>
      </w:r>
      <w:r>
        <w:rPr>
          <w:b w:val="0"/>
        </w:rPr>
      </w:r>
    </w:p>
    <w:p>
      <w:r>
        <w:rPr>
          <w:b w:val="0"/>
        </w:rPr>
        <w:t xml:space="preserve">- Mind a hét dimenzióban megfelelt: </w:t>
      </w:r>
      <w:r>
        <w:rPr>
          <w:b/>
        </w:rPr>
        <w:t>40</w:t>
      </w:r>
      <w:r>
        <w:rPr>
          <w:b w:val="0"/>
        </w:rPr>
      </w:r>
    </w:p>
    <w:p>
      <w:r>
        <w:rPr>
          <w:b w:val="0"/>
        </w:rPr>
        <w:t xml:space="preserve">- Szövegben idézett, de jegyzékből hiányzó: </w:t>
      </w:r>
      <w:r>
        <w:rPr>
          <w:b/>
        </w:rPr>
        <w:t>nincs</w:t>
      </w:r>
      <w:r>
        <w:rPr>
          <w:b w:val="0"/>
        </w:rPr>
      </w:r>
    </w:p>
    <w:p>
      <w:r>
        <w:rPr>
          <w:b w:val="0"/>
        </w:rPr>
        <w:t xml:space="preserve">- Jegyzékben szereplő, de nem idézett: </w:t>
      </w:r>
      <w:r>
        <w:rPr>
          <w:b/>
        </w:rPr>
        <w:t>nincs</w:t>
      </w:r>
      <w:r>
        <w:rPr>
          <w:b w:val="0"/>
        </w:rPr>
      </w:r>
    </w:p>
    <w:p>
      <w:r>
        <w:rPr>
          <w:b w:val="0"/>
        </w:rPr>
        <w:t xml:space="preserve">- A számozás az első előfordulás sorrendjét követi: </w:t>
      </w:r>
      <w:r>
        <w:rPr>
          <w:b/>
        </w:rPr>
        <w:t>igen</w:t>
      </w:r>
      <w:r>
        <w:rPr>
          <w:b w:val="0"/>
        </w:rPr>
      </w:r>
    </w:p>
    <w:p>
      <w:r>
        <w:rPr>
          <w:b w:val="0"/>
        </w:rPr>
        <w:t>A hat dimenzió: D1 DOI feloldhatósága · D2 első szerző · D3 szerzőlista (et al. szabály) · D4 folyóirat · D5 kötet · D6 oldalszám vagy cikkszám. Kiegészítő dimenzió: D7 évszám (a nyomtatott megjelenés az irányadó, mert a Crossref issued mezője gyakran az online dátum).</w:t>
      </w:r>
    </w:p>
    <w:p>
      <w:pPr>
        <w:spacing w:before="240"/>
      </w:pPr>
      <w:r>
        <w:rPr>
          <w:b/>
          <w:sz w:val="24"/>
        </w:rPr>
        <w:t>Tételes eredmény</w:t>
      </w:r>
    </w:p>
    <w:p>
      <w:pPr>
        <w:spacing w:after="40"/>
      </w:pPr>
      <w:r>
        <w:rPr>
          <w:sz w:val="17"/>
        </w:rPr>
        <w:t># | DOI | PMID | D1 | D2 | D3 | D4 | D5 | D6 | D7</w:t>
      </w:r>
    </w:p>
    <w:p>
      <w:pPr>
        <w:spacing w:after="40"/>
      </w:pPr>
      <w:r>
        <w:rPr>
          <w:sz w:val="17"/>
        </w:rPr>
        <w:t>1 | 10.1542/peds.2022-060641 | 36622135 | OK | OK | OK | OK | OK | OK | OK</w:t>
      </w:r>
    </w:p>
    <w:p>
      <w:pPr>
        <w:spacing w:after="40"/>
      </w:pPr>
      <w:r>
        <w:rPr>
          <w:sz w:val="17"/>
        </w:rPr>
        <w:t>2 | 10.3310/hta19430 | 26108433 | OK | OK | OK | OK | OK | OK | OK</w:t>
      </w:r>
    </w:p>
    <w:p>
      <w:pPr>
        <w:spacing w:after="40"/>
      </w:pPr>
      <w:r>
        <w:rPr>
          <w:sz w:val="17"/>
        </w:rPr>
        <w:t>3 | 10.1093/ejendo/lvad096 | 37580861 | OK | OK | OK | OK | OK | OK | OK</w:t>
      </w:r>
    </w:p>
    <w:p>
      <w:pPr>
        <w:spacing w:after="40"/>
      </w:pPr>
      <w:r>
        <w:rPr>
          <w:sz w:val="17"/>
        </w:rPr>
        <w:t>4 | 10.1093/ije/dyac021 | 35157067 | OK | OK | OK | OK | OK | OK | OK</w:t>
      </w:r>
    </w:p>
    <w:p>
      <w:pPr>
        <w:spacing w:after="40"/>
      </w:pPr>
      <w:r>
        <w:rPr>
          <w:sz w:val="17"/>
        </w:rPr>
        <w:t>5 | 10.2147/DDDT.S506957 | 40330819 | OK | OK | OK | OK | OK | OK | OK</w:t>
      </w:r>
    </w:p>
    <w:p>
      <w:pPr>
        <w:spacing w:after="40"/>
      </w:pPr>
      <w:r>
        <w:rPr>
          <w:sz w:val="17"/>
        </w:rPr>
        <w:t>6 | 10.1016/j.mce.2009.09.020 | 19786070 | OK | OK | OK | OK | OK | OK | OK</w:t>
      </w:r>
    </w:p>
    <w:p>
      <w:pPr>
        <w:spacing w:after="40"/>
      </w:pPr>
      <w:r>
        <w:rPr>
          <w:sz w:val="17"/>
        </w:rPr>
        <w:t>7 | 10.1016/j.yhbeh.2013.01.014 | 23998663 | OK | OK | OK | OK | OK | OK | OK</w:t>
      </w:r>
    </w:p>
    <w:p>
      <w:pPr>
        <w:spacing w:after="40"/>
      </w:pPr>
      <w:r>
        <w:rPr>
          <w:sz w:val="17"/>
        </w:rPr>
        <w:t>8 | 10.1016/j.molmet.2016.08.003 | 27688998 | OK | OK | OK | OK | OK | OK | OK</w:t>
      </w:r>
    </w:p>
    <w:p>
      <w:pPr>
        <w:spacing w:after="40"/>
      </w:pPr>
      <w:r>
        <w:rPr>
          <w:sz w:val="17"/>
        </w:rPr>
        <w:t>9 | 10.1038/s41366-018-0048-7 | 29549348 | OK | OK | OK | OK | OK | OK | OK</w:t>
      </w:r>
    </w:p>
    <w:p>
      <w:pPr>
        <w:spacing w:after="40"/>
      </w:pPr>
      <w:r>
        <w:rPr>
          <w:sz w:val="17"/>
        </w:rPr>
        <w:t>10 | 10.1210/en.2014-1978 | 26252058 | OK | OK | OK | OK | OK | OK | OK</w:t>
      </w:r>
    </w:p>
    <w:p>
      <w:pPr>
        <w:spacing w:after="40"/>
      </w:pPr>
      <w:r>
        <w:rPr>
          <w:sz w:val="17"/>
        </w:rPr>
        <w:t>11 | 10.3389/fcvm.2024.1379189 | 39055657 | OK | OK | OK | OK | OK | OK | OK</w:t>
      </w:r>
    </w:p>
    <w:p>
      <w:pPr>
        <w:spacing w:after="40"/>
      </w:pPr>
      <w:r>
        <w:rPr>
          <w:sz w:val="17"/>
        </w:rPr>
        <w:t>12 | 10.1210/jc.2017-00131 | 28368518 | OK | OK | OK | OK | OK | OK | OK</w:t>
      </w:r>
    </w:p>
    <w:p>
      <w:pPr>
        <w:spacing w:after="40"/>
      </w:pPr>
      <w:r>
        <w:rPr>
          <w:sz w:val="17"/>
        </w:rPr>
        <w:t>13 | 10.1002/mnfr.202300688 | 38342595 | OK | OK | OK | OK | OK | OK | OK</w:t>
      </w:r>
    </w:p>
    <w:p>
      <w:pPr>
        <w:spacing w:after="40"/>
      </w:pPr>
      <w:r>
        <w:rPr>
          <w:sz w:val="17"/>
        </w:rPr>
        <w:t>14 | 10.1016/j.japh.2023.10.037 | 37940101 | OK | OK | OK | OK | OK | OK | OK</w:t>
      </w:r>
    </w:p>
    <w:p>
      <w:pPr>
        <w:spacing w:after="40"/>
      </w:pPr>
      <w:r>
        <w:rPr>
          <w:sz w:val="17"/>
        </w:rPr>
        <w:t>15 | 10.1056/NEJMoa2208601 | 36322838 | OK | OK | OK | OK | OK | OK | OK</w:t>
      </w:r>
    </w:p>
    <w:p>
      <w:pPr>
        <w:spacing w:after="40"/>
      </w:pPr>
      <w:r>
        <w:rPr>
          <w:sz w:val="17"/>
        </w:rPr>
        <w:t>16 | 10.1002/oby.23808 | 37196421 | OK | OK | OK | OK | OK | OK | OK</w:t>
      </w:r>
    </w:p>
    <w:p>
      <w:pPr>
        <w:spacing w:after="40"/>
      </w:pPr>
      <w:r>
        <w:rPr>
          <w:sz w:val="17"/>
        </w:rPr>
        <w:t>17 | 10.1056/NEJMoa1916038 | 32233338 | OK | OK | OK | OK | OK | OK | OK</w:t>
      </w:r>
    </w:p>
    <w:p>
      <w:pPr>
        <w:spacing w:after="40"/>
      </w:pPr>
      <w:r>
        <w:rPr>
          <w:sz w:val="17"/>
        </w:rPr>
        <w:t>18 | 10.1056/NEJMoa2407379 | 39258838 | OK | OK | OK | OK | OK | OK | OK</w:t>
      </w:r>
    </w:p>
    <w:p>
      <w:pPr>
        <w:spacing w:after="40"/>
      </w:pPr>
      <w:r>
        <w:rPr>
          <w:sz w:val="17"/>
        </w:rPr>
        <w:t>19 | 10.3389/fendo.2022.897776 | 36034458 | OK | OK | OK | OK | OK | OK | OK</w:t>
      </w:r>
    </w:p>
    <w:p>
      <w:pPr>
        <w:spacing w:after="40"/>
      </w:pPr>
      <w:r>
        <w:rPr>
          <w:sz w:val="17"/>
        </w:rPr>
        <w:t>20 | 10.1002/oby.24348 | 40717199 | OK | OK | OK | OK | OK | OK | OK</w:t>
      </w:r>
    </w:p>
    <w:p>
      <w:pPr>
        <w:spacing w:after="40"/>
      </w:pPr>
      <w:r>
        <w:rPr>
          <w:sz w:val="17"/>
        </w:rPr>
        <w:t>21 | 10.1016/j.rbmo.2019.04.017 | 31229399 | OK | OK | OK | OK | OK | OK | OK</w:t>
      </w:r>
    </w:p>
    <w:p>
      <w:pPr>
        <w:spacing w:after="40"/>
      </w:pPr>
      <w:r>
        <w:rPr>
          <w:sz w:val="17"/>
        </w:rPr>
        <w:t>22 | 10.1210/clinem/dgab408 | 34097062 | OK | OK | OK | OK | OK | OK | OK</w:t>
      </w:r>
    </w:p>
    <w:p>
      <w:pPr>
        <w:spacing w:after="40"/>
      </w:pPr>
      <w:r>
        <w:rPr>
          <w:sz w:val="17"/>
        </w:rPr>
        <w:t>23 | 10.1210/clinem/dgaa692 | 32995892 | OK | OK | OK | OK | OK | OK | OK</w:t>
      </w:r>
    </w:p>
    <w:p>
      <w:pPr>
        <w:spacing w:after="40"/>
      </w:pPr>
      <w:r>
        <w:rPr>
          <w:sz w:val="17"/>
        </w:rPr>
        <w:t>24 | 10.1186/s13098-025-01730-8 | 40410888 | OK | OK | OK | OK | OK | OK | OK</w:t>
      </w:r>
    </w:p>
    <w:p>
      <w:pPr>
        <w:spacing w:after="40"/>
      </w:pPr>
      <w:r>
        <w:rPr>
          <w:sz w:val="17"/>
        </w:rPr>
        <w:t>25 | 10.3390/jcm12010067 | 36614868 | OK | OK | OK | OK | OK | OK | OK</w:t>
      </w:r>
    </w:p>
    <w:p>
      <w:pPr>
        <w:spacing w:after="40"/>
      </w:pPr>
      <w:r>
        <w:rPr>
          <w:sz w:val="17"/>
        </w:rPr>
        <w:t>26 | 10.1530/EJE-17-0776 | 29453202 | OK | OK | OK | OK | OK | OK | OK</w:t>
      </w:r>
    </w:p>
    <w:p>
      <w:pPr>
        <w:spacing w:after="40"/>
      </w:pPr>
      <w:r>
        <w:rPr>
          <w:sz w:val="17"/>
        </w:rPr>
        <w:t>27 | 10.1186/s40360-026-01149-5 | 42163419 | OK | OK | OK | OK | OK | OK | OK</w:t>
      </w:r>
    </w:p>
    <w:p>
      <w:pPr>
        <w:spacing w:after="40"/>
      </w:pPr>
      <w:r>
        <w:rPr>
          <w:sz w:val="17"/>
        </w:rPr>
        <w:t>28 | 10.1007/s40520-025-03017-4 | 40325308 | OK | OK | OK | OK | OK | OK | OK</w:t>
      </w:r>
    </w:p>
    <w:p>
      <w:pPr>
        <w:spacing w:after="40"/>
      </w:pPr>
      <w:r>
        <w:rPr>
          <w:sz w:val="17"/>
        </w:rPr>
        <w:t>29 | 10.1371/journal.pmed.1002081 | 27529652 | OK | OK | OK | OK | OK | OK | OK</w:t>
      </w:r>
    </w:p>
    <w:p>
      <w:pPr>
        <w:spacing w:after="40"/>
      </w:pPr>
      <w:r>
        <w:rPr>
          <w:sz w:val="17"/>
        </w:rPr>
        <w:t>30 | 10.1093/jncics/pkab065 | 34476340 | OK | OK | OK | OK | OK | OK | OK</w:t>
      </w:r>
    </w:p>
    <w:p>
      <w:pPr>
        <w:spacing w:after="40"/>
      </w:pPr>
      <w:r>
        <w:rPr>
          <w:sz w:val="17"/>
        </w:rPr>
        <w:t>31 | 10.1056/NEJMoa2307563 | 37952131 | OK | OK | OK | OK | OK | OK | OK</w:t>
      </w:r>
    </w:p>
    <w:p>
      <w:pPr>
        <w:spacing w:after="40"/>
      </w:pPr>
      <w:r>
        <w:rPr>
          <w:sz w:val="17"/>
        </w:rPr>
        <w:t>32 | 10.1038/s41591-024-02996-7 | 38740993 | OK | OK | OK | OK | OK | OK | OK</w:t>
      </w:r>
    </w:p>
    <w:p>
      <w:pPr>
        <w:spacing w:after="40"/>
      </w:pPr>
      <w:r>
        <w:rPr>
          <w:sz w:val="17"/>
        </w:rPr>
        <w:t>33 | – | 21485717 | NINCS DOI | OK | OK | OK | OK | OK | OK</w:t>
      </w:r>
    </w:p>
    <w:p>
      <w:pPr>
        <w:spacing w:after="40"/>
      </w:pPr>
      <w:r>
        <w:rPr>
          <w:sz w:val="17"/>
        </w:rPr>
        <w:t>34 | 10.18632/oncotarget.14916 | 28159926 | OK | OK | OK | OK | OK | OK | OK</w:t>
      </w:r>
    </w:p>
    <w:p>
      <w:pPr>
        <w:spacing w:after="40"/>
      </w:pPr>
      <w:r>
        <w:rPr>
          <w:sz w:val="17"/>
        </w:rPr>
        <w:t>35 | 10.1007/s13679-025-00662-8 | 40920291 | OK | OK | OK | OK | OK | OK | OK</w:t>
      </w:r>
    </w:p>
    <w:p>
      <w:pPr>
        <w:spacing w:after="40"/>
      </w:pPr>
      <w:r>
        <w:rPr>
          <w:sz w:val="17"/>
        </w:rPr>
        <w:t>36 | 10.3390/biomedicines14071644 | 42512116 | OK | OK | OK | OK | OK | OK | OK</w:t>
      </w:r>
    </w:p>
    <w:p>
      <w:pPr>
        <w:spacing w:after="40"/>
      </w:pPr>
      <w:r>
        <w:rPr>
          <w:sz w:val="17"/>
        </w:rPr>
        <w:t>37 | 10.1007/s13679-025-00664-6 | 41085909 | OK | OK | OK | OK | OK | OK | OK</w:t>
      </w:r>
    </w:p>
    <w:p>
      <w:pPr>
        <w:spacing w:after="40"/>
      </w:pPr>
      <w:r>
        <w:rPr>
          <w:sz w:val="17"/>
        </w:rPr>
        <w:t>38 | 10.1111/dom.14725 | 35441470 | OK | OK | OK | OK | OK | OK | OK</w:t>
      </w:r>
    </w:p>
    <w:p>
      <w:pPr>
        <w:spacing w:after="40"/>
      </w:pPr>
      <w:r>
        <w:rPr>
          <w:sz w:val="17"/>
        </w:rPr>
        <w:t>39 | 10.1111/obr.13535 | 36437105 | OK | OK | OK | OK | OK | OK | OK</w:t>
      </w:r>
    </w:p>
    <w:p>
      <w:pPr>
        <w:spacing w:after="40"/>
      </w:pPr>
      <w:r>
        <w:rPr>
          <w:sz w:val="17"/>
        </w:rPr>
        <w:t>40 | 10.1001/jamanetworkopen.2023.36400 | 37824146 | OK | OK | OK | OK | OK | OK | OK</w:t>
      </w:r>
    </w:p>
    <w:p>
      <w:pPr>
        <w:spacing w:before="240"/>
      </w:pPr>
      <w:r>
        <w:rPr>
          <w:b/>
          <w:sz w:val="24"/>
        </w:rPr>
        <w:t>A futások során feloldott jelzések</w:t>
      </w:r>
    </w:p>
    <w:p>
      <w:pPr>
        <w:spacing w:after="40"/>
      </w:pPr>
      <w:r>
        <w:rPr>
          <w:sz w:val="17"/>
        </w:rPr>
        <w:t>Jelzés | Feloldás</w:t>
      </w:r>
    </w:p>
    <w:p>
      <w:pPr>
        <w:spacing w:after="40"/>
      </w:pPr>
      <w:r>
        <w:rPr>
          <w:sz w:val="17"/>
        </w:rPr>
        <w:t>kötet „eltér” füzetszám nélküli folyóiratnál | Ellenőrzési műtermék: cikkszámos folyóiratok (pl. Front Endocrinol 2022;13:897776). Az ellenőrző mintázata javítva.</w:t>
      </w:r>
    </w:p>
    <w:p>
      <w:pPr>
        <w:spacing w:after="40"/>
      </w:pPr>
      <w:r>
        <w:rPr>
          <w:sz w:val="17"/>
        </w:rPr>
        <w:t>kötet „eltér” Dove Press-kiadványnál | A Crossref „Volume 19” formában adja meg a kötetet; az ellenőrző immár a PubMed értékét és csak a számjegyeket veszi.</w:t>
      </w:r>
    </w:p>
    <w:p>
      <w:pPr>
        <w:spacing w:after="40"/>
      </w:pPr>
      <w:r>
        <w:rPr>
          <w:sz w:val="17"/>
        </w:rPr>
        <w:t>oldalszám „ellenőrizni” | **Valódi javítás volt:** az e1420–32 rövidített tartomány e1420–e1432 formára javítva.</w:t>
      </w:r>
    </w:p>
    <w:p>
      <w:pPr>
        <w:spacing w:after="40"/>
      </w:pPr>
      <w:r>
        <w:rPr>
          <w:sz w:val="17"/>
        </w:rPr>
        <w:t>évszám „eltér” | Ellenőrzési műtermék: a Crossref issued az online megjelenés dátuma; a nyomtatott év az irányadó.</w:t>
      </w:r>
    </w:p>
    <w:p>
      <w:pPr>
        <w:spacing w:after="40"/>
      </w:pPr>
      <w:r>
        <w:rPr>
          <w:sz w:val="17"/>
        </w:rPr>
        <w:t>első szerző és „et al.” | Ellenőrzési műtermék: testületi szerző.</w:t>
      </w:r>
    </w:p>
    <w:p>
      <w:pPr>
        <w:spacing w:after="40"/>
      </w:pPr>
      <w:r>
        <w:rPr>
          <w:sz w:val="17"/>
        </w:rPr>
        <w:t>nincs DOI | A Clin Exp Obstet Gynecol 2011-es közleményének nincs DOI-ja; PMID alapján ellenőrizve.</w:t>
      </w:r>
    </w:p>
    <w:p>
      <w:pPr>
        <w:spacing w:after="40"/>
      </w:pPr>
      <w:r>
        <w:rPr>
          <w:sz w:val="17"/>
        </w:rPr>
        <w:t>**az egész tábla „eltér”** | A DOI/PMID-térkép elavult a hivatkozásszám változása után. Javítva: a térkép az `ids.json`-ból **származtatott**, a sorszámozó generálja.</w:t>
      </w:r>
    </w:p>
    <w:p>
      <w:pPr>
        <w:spacing w:before="240"/>
      </w:pPr>
      <w:r>
        <w:rPr>
          <w:b/>
          <w:sz w:val="24"/>
        </w:rPr>
        <w:t>Újrafuttatás</w:t>
      </w:r>
    </w:p>
    <w:p>
      <w:r>
        <w:rPr>
          <w:b w:val="0"/>
        </w:rPr>
        <w:t>```bash</w:t>
      </w:r>
    </w:p>
    <w:p>
      <w:r>
        <w:rPr>
          <w:b w:val="0"/>
        </w:rPr>
        <w:t>python osszefuz_es_szamoz.py</w:t>
      </w:r>
    </w:p>
    <w:p>
      <w:r>
        <w:rPr>
          <w:b w:val="0"/>
        </w:rPr>
        <w:t>python ellenorzes/validate_6d.py</w:t>
      </w:r>
    </w:p>
    <w:p>
      <w:r>
        <w:rPr>
          <w:b w:val="0"/>
        </w:rPr>
        <w:t>```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6D bibliográfiai validáció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