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Metodikai–élettani–biokémiai bírálat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praxisban: a GLP-1 receptor agonisták hatása a serdülőkori reproduktív axisra</w:t>
      </w:r>
    </w:p>
    <w:p>
      <w:r>
        <w:rPr>
          <w:b w:val="0"/>
        </w:rPr>
      </w:r>
      <w:r>
        <w:rPr>
          <w:b/>
        </w:rPr>
        <w:t>A bírálat jellege:</w:t>
      </w:r>
      <w:r>
        <w:rPr>
          <w:b w:val="0"/>
        </w:rPr>
        <w:t xml:space="preserve"> igénymegjelölő. Nem a meglévő szöveg hibáit sorolja, hanem azt rögzíti, </w:t>
      </w:r>
      <w:r>
        <w:rPr>
          <w:b/>
        </w:rPr>
        <w:t>mit kell a kéziratnak tartalmaznia</w:t>
      </w:r>
      <w:r>
        <w:rPr>
          <w:b w:val="0"/>
        </w:rPr>
        <w:t xml:space="preserve">, illetve </w:t>
      </w:r>
      <w:r>
        <w:rPr>
          <w:b/>
        </w:rPr>
        <w:t>milyen mérésre és milyen bizonyítékra van szükség</w:t>
      </w:r>
      <w:r>
        <w:rPr>
          <w:b w:val="0"/>
        </w:rPr>
        <w:t xml:space="preserve"> ahhoz, hogy a benne szereplő élettani és biokémiai állítások megálljanak.</w:t>
      </w:r>
    </w:p>
    <w:p>
      <w:r>
        <w:rPr>
          <w:b w:val="0"/>
        </w:rPr>
      </w:r>
      <w:r>
        <w:rPr>
          <w:b/>
        </w:rPr>
        <w:t>A bírálat dátuma: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A. Élettani igények</w:t>
      </w:r>
    </w:p>
    <w:p>
      <w:pPr>
        <w:spacing w:before="160"/>
      </w:pPr>
      <w:r>
        <w:rPr>
          <w:b/>
          <w:sz w:val="22"/>
        </w:rPr>
        <w:t>A.1 A leptin–kisspeptin tengelyhez való viszony tisztázása — *elsőrendű igény*</w:t>
      </w:r>
    </w:p>
    <w:p>
      <w:r>
        <w:rPr>
          <w:b w:val="0"/>
        </w:rPr>
        <w:t xml:space="preserve">A kézirat a zsírszövet és a pubertás időzítése közötti kapcsolatot tárgyalja, de a testzsír → nemi érés összefüggés </w:t>
      </w:r>
      <w:r>
        <w:rPr>
          <w:b/>
        </w:rPr>
        <w:t>bizonyítottan ismert közvetítőjét, a leptin–kisspeptin (KNDy) tengelyt egyáltalán nem említi</w:t>
      </w:r>
      <w:r>
        <w:rPr>
          <w:b w:val="0"/>
        </w:rPr>
        <w:t>. Ez mechanisztikai szempontból a kézirat legnagyobb hiánya: az olvasó egy új, gyengén alátámasztott utat (közvetlen GLP-1-hatás) kap, miközben a régi, erősen alátámasztott utat (leptinjel a kisspeptin-neuronok felé) nem kapja meg viszonyítási alapként.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a mechanizmus-fejezetben szerepeljen egy bekezdés, amely a GLP-1-hatást a leptin–kisspeptin tengelyhez képest pozicionálja, és kimondja, hogy a GLP-1RA-indukálta zsírtömeg-csökkenés leptin-mediált úton </w:t>
      </w:r>
      <w:r>
        <w:rPr>
          <w:b/>
        </w:rPr>
        <w:t>is</w:t>
      </w:r>
      <w:r>
        <w:rPr>
          <w:b w:val="0"/>
        </w:rPr>
        <w:t xml:space="preserve"> hat a pubertás időzítésére — azaz a megfigyelt hatás nem tulajdonítható eleve közvetlen GLP-1-hatásnak. E nélkül az 1. ábra „közvetlen gonadális út" nyila félrevezető.</w:t>
      </w:r>
    </w:p>
    <w:p>
      <w:pPr>
        <w:spacing w:before="160"/>
      </w:pPr>
      <w:r>
        <w:rPr>
          <w:b/>
          <w:sz w:val="22"/>
        </w:rPr>
        <w:t>A.2 Az alacsony energia-hozzáférhetőség ellenhipotézisének tárgyalása — *elsőrendű igény*</w:t>
      </w:r>
    </w:p>
    <w:p>
      <w:r>
        <w:rPr>
          <w:b w:val="0"/>
        </w:rPr>
        <w:t xml:space="preserve">A kézirat egyirányú narratívát épít: fogyás → javuló ciklus. Fiziológiailag azonban a GLP-1RA melletti gyors testsúlycsökkenés és a jelentősen csökkent energiabevitel </w:t>
      </w:r>
      <w:r>
        <w:rPr>
          <w:b/>
        </w:rPr>
        <w:t>ellenkező irányban is hathat</w:t>
      </w:r>
      <w:r>
        <w:rPr>
          <w:b w:val="0"/>
        </w:rPr>
        <w:t>: az alacsony energia-hozzáférhetőség a funkcionális hypothalamicus amenorrhoea klasszikus kiváltója, és serdülőkorban különösen érzékeny a GnRH-pulzusgenerátor.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a kézirat ismerje el, hogy a serdülőkori GLP-1RA-kezelés a reproduktív tengelyre nézve </w:t>
      </w:r>
      <w:r>
        <w:rPr>
          <w:b/>
        </w:rPr>
        <w:t>kétirányú kockázatot</w:t>
      </w:r>
      <w:r>
        <w:rPr>
          <w:b w:val="0"/>
        </w:rPr>
        <w:t xml:space="preserve"> hordoz, és adja meg azt az energiabeviteli és testsúlyvesztési sebességküszöböt, amely alatt a funkcionális amenorrhoea kockázata emelkedik. Ha ilyen küszöb nincs publikálva, ezt kutatási igényként kell megfogalmazni.</w:t>
      </w:r>
    </w:p>
    <w:p>
      <w:pPr>
        <w:spacing w:before="160"/>
      </w:pPr>
      <w:r>
        <w:rPr>
          <w:b/>
          <w:sz w:val="22"/>
        </w:rPr>
        <w:t>A.3 A növekedés és a végleges testmagasság kezelése — *elsőrendű igény*</w:t>
      </w:r>
    </w:p>
    <w:p>
      <w:r>
        <w:rPr>
          <w:b w:val="0"/>
        </w:rPr>
        <w:t xml:space="preserve">A 8–14 éves sávban a beavatkozás a növekedési fázisba nyúlik bele. A kézirat a Tanner-stádium, a növekedési sebesség és a csontkor követését előírja, de nem mondja meg, hogy </w:t>
      </w:r>
      <w:r>
        <w:rPr>
          <w:b/>
        </w:rPr>
        <w:t>mit kell mérni és mikor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</w:r>
    </w:p>
    <w:p>
      <w:r>
        <w:rPr>
          <w:b w:val="0"/>
        </w:rPr>
        <w:t>- növekedési sebesség (cm/év) legalább félévenkénti magasságméréssel, standardizált stadiométerrel;</w:t>
      </w:r>
    </w:p>
    <w:p>
      <w:r>
        <w:rPr>
          <w:b w:val="0"/>
        </w:rPr>
        <w:t>- csontkor meghatározás (Greulich–Pyle vagy TW3) a kezelés indításakor és 12 havonta;</w:t>
      </w:r>
    </w:p>
    <w:p>
      <w:r>
        <w:rPr>
          <w:b w:val="0"/>
        </w:rPr>
        <w:t>- predikált végleges testmagasság becslése és követése;</w:t>
      </w:r>
    </w:p>
    <w:p>
      <w:r>
        <w:rPr>
          <w:b w:val="0"/>
        </w:rPr>
        <w:t xml:space="preserve">- a magasság-SDS és a BMI-SDS </w:t>
      </w:r>
      <w:r>
        <w:rPr>
          <w:b/>
        </w:rPr>
        <w:t>külön</w:t>
      </w:r>
      <w:r>
        <w:rPr>
          <w:b w:val="0"/>
        </w:rPr>
        <w:t xml:space="preserve"> jelentése, mert a BMI-SDS csökkenése magasságnövekedésből is származhat.</w:t>
      </w:r>
    </w:p>
    <w:p>
      <w:pPr>
        <w:spacing w:before="160"/>
      </w:pPr>
      <w:r>
        <w:rPr>
          <w:b/>
          <w:sz w:val="22"/>
        </w:rPr>
        <w:t>A.4 A pubertásfejlődés objektív mérése — *elsőrendű igény*</w:t>
      </w:r>
    </w:p>
    <w:p>
      <w:r>
        <w:rPr>
          <w:b w:val="0"/>
        </w:rPr>
        <w:t>A Tanner-stádium önmagában nem elég egy tengelyhatás kimutatásához.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bazális LH és FSH, ösztradiol (érzékeny, LC-MS/MS módszerrel), AMH, valamint kismedencei ultrahang (uterus-térfogat, ovarium-térfogat). Külön kimondandó, hogy az </w:t>
      </w:r>
      <w:r>
        <w:rPr>
          <w:b/>
        </w:rPr>
        <w:t>AMH serdülőkorban nem diagnosztikus</w:t>
      </w:r>
      <w:r>
        <w:rPr>
          <w:b w:val="0"/>
        </w:rPr>
        <w:t xml:space="preserve"> a PCOS-ra nézve, és hogy a legérzékenyebb tengelymutató, az éjszakai LH-pulzatilitás, rutinszerűen nem mérhető — ez korlátként rögzítendő.</w:t>
      </w:r>
    </w:p>
    <w:p>
      <w:pPr>
        <w:spacing w:before="160"/>
      </w:pPr>
      <w:r>
        <w:rPr>
          <w:b/>
          <w:sz w:val="22"/>
        </w:rPr>
        <w:t>A.5 A GLP-1 receptor humán, juvenilis szöveti expressziójának bizonyítéka — *elsőrendű igény*</w:t>
      </w:r>
    </w:p>
    <w:p>
      <w:r>
        <w:rPr>
          <w:b w:val="0"/>
        </w:rPr>
        <w:t xml:space="preserve">A „közvetlen gonadális út" előfeltétele, hogy a receptor jelen legyen a humán hypothalamusban, hypophysisben és ovariumban, </w:t>
      </w:r>
      <w:r>
        <w:rPr>
          <w:b/>
        </w:rPr>
        <w:t>a vizsgált életkorban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humán szöveti receptorexpressziós adat idézése (immunhisztokémia, egysejtes transzkriptomika); ennek hiányában a kézirat mondja ki, hogy a receptor jelenléte a humán juvenilis gonadális tengelyen nem igazolt, és az extrapoláció rágcsáló-adatból történik.</w:t>
      </w:r>
    </w:p>
    <w:p>
      <w:pPr>
        <w:spacing w:before="240"/>
      </w:pPr>
      <w:r>
        <w:rPr>
          <w:b/>
          <w:sz w:val="24"/>
        </w:rPr>
        <w:t>B. Biokémiai igények</w:t>
      </w:r>
    </w:p>
    <w:p>
      <w:pPr>
        <w:spacing w:before="160"/>
      </w:pPr>
      <w:r>
        <w:rPr>
          <w:b/>
          <w:sz w:val="22"/>
        </w:rPr>
        <w:t>B.1 Az SHBG-emelkedés molekuláris mechanizmusa — *lényegi igény*</w:t>
      </w:r>
    </w:p>
    <w:p>
      <w:r>
        <w:rPr>
          <w:b w:val="0"/>
        </w:rPr>
        <w:t>A kézirat ok-okozati láncot állít fel: inzulinrezisztencia ↓ → SHBG ↑ → szabad tesztoszteron ↓. A lánc középső tagja nincs kifejtve.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a hepatikus SHBG-transzkripció szabályozásának megnevezése (a HNF-4α-mediált transzkripció, illetve a hepatikus de novo lipogenezis és a monoszacharid-terhelés SHBG-t csökkentő hatása), és annak kimondása, hogy a MASLD javulása önálló SHBG-emelő tényező. E nélkül az állítás asszociáció, nem mechanizmus.</w:t>
      </w:r>
    </w:p>
    <w:p>
      <w:pPr>
        <w:spacing w:before="160"/>
      </w:pPr>
      <w:r>
        <w:rPr>
          <w:b/>
          <w:sz w:val="22"/>
        </w:rPr>
        <w:t>B.2 Az androgénmérés analitikai követelménye — *elsőrendű igény*</w:t>
      </w:r>
    </w:p>
    <w:p>
      <w:r>
        <w:rPr>
          <w:b w:val="0"/>
        </w:rPr>
        <w:t>A kézirat „szabad tesztoszteron ↓" és „androsztendion ↓" állításokat közöl serdülő leányokra vonatkoztatva. Ebben a koncentrációtartományban az immunoassay-alapú tesztoszteronmérés megbízhatatlan.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</w:r>
    </w:p>
    <w:p>
      <w:r>
        <w:rPr>
          <w:b w:val="0"/>
        </w:rPr>
        <w:t xml:space="preserve">- minden androgénértéknél nevezze meg a mérési módszert; serdülő leány esetén </w:t>
      </w:r>
      <w:r>
        <w:rPr>
          <w:b/>
        </w:rPr>
        <w:t>LC-MS/MS</w:t>
      </w:r>
      <w:r>
        <w:rPr>
          <w:b w:val="0"/>
        </w:rPr>
        <w:t xml:space="preserve"> az elvárt referencia;</w:t>
      </w:r>
    </w:p>
    <w:p>
      <w:r>
        <w:rPr>
          <w:b w:val="0"/>
        </w:rPr>
        <w:t>- a szabad tesztoszteron ne közvetlen immunoassay-ből, hanem összes tesztoszteron + SHBG alapján számított szabad androgén indexből (FAI) vagy számított szabad tesztoszteronból származzon, a számítási képlet megnevezésével;</w:t>
      </w:r>
    </w:p>
    <w:p>
      <w:r>
        <w:rPr>
          <w:b w:val="0"/>
        </w:rPr>
        <w:t>- életkor- és Tanner-stádium-specifikus referenciatartomány használata, nem felnőtt referencia.</w:t>
      </w:r>
    </w:p>
    <w:p>
      <w:pPr>
        <w:spacing w:before="160"/>
      </w:pPr>
      <w:r>
        <w:rPr>
          <w:b/>
          <w:sz w:val="22"/>
        </w:rPr>
        <w:t>B.3 A gyulladásos állítás alátámasztása CRP-n túl — *lényegi igény*</w:t>
      </w:r>
    </w:p>
    <w:p>
      <w:r>
        <w:rPr>
          <w:b w:val="0"/>
        </w:rPr>
        <w:t>A „gyulladáscsökkentő, részben testsúlyfüggetlen hatás" állítás jelenleg egyetlen, downstream, hepatikus akut fázis fehérje (CRP) összevont hatásméretén nyugszik. A CRP nem mechanizmus, hanem következmény.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</w:r>
    </w:p>
    <w:p>
      <w:r>
        <w:rPr>
          <w:b w:val="0"/>
        </w:rPr>
        <w:t>- upstream markerek megnevezése: IL-6, TNF-α, valamint az adiponektin/leptin arány mint zsírszövet-funkciós index;</w:t>
      </w:r>
    </w:p>
    <w:p>
      <w:r>
        <w:rPr>
          <w:b w:val="0"/>
        </w:rPr>
        <w:t xml:space="preserve">- a „testsúlytól részben független" állítás </w:t>
      </w:r>
      <w:r>
        <w:rPr>
          <w:b/>
        </w:rPr>
        <w:t>mediációs elemzést</w:t>
      </w:r>
      <w:r>
        <w:rPr>
          <w:b w:val="0"/>
        </w:rPr>
        <w:t xml:space="preserve"> igényel (a hatás mekkora hányada fut a testsúlyváltozáson keresztül); pooled SMD ezt nem tudja bizonyítani. Ha ilyen elemzés nincs, az állítást hipotézisre kell gyengíteni;</w:t>
      </w:r>
    </w:p>
    <w:p>
      <w:r>
        <w:rPr>
          <w:b w:val="0"/>
        </w:rPr>
        <w:t>- nőgyógyászati relevancia esetén a lokális, endometrialis és peritonealis gyulladásos markerekre vonatkozó igény külön megfogalmazása — a szisztémás CRP-ből az endometrium-mikrokörnyezetre következtetni nem lehet.</w:t>
      </w:r>
    </w:p>
    <w:p>
      <w:pPr>
        <w:spacing w:before="160"/>
      </w:pPr>
      <w:r>
        <w:rPr>
          <w:b/>
          <w:sz w:val="22"/>
        </w:rPr>
        <w:t>B.4 A tirzepatid mechanisztikai elkülönítése — *lényegi igény*</w:t>
      </w:r>
    </w:p>
    <w:p>
      <w:r>
        <w:rPr>
          <w:b w:val="0"/>
        </w:rPr>
        <w:t>A kézirat a tirzepatidot a GLP-1RA-k mellett említi, egy lábjegyzettel a törzskönyvezésről. Biokémiailag ez nem elég: a GIP-receptor-jelátvitel a zsírsejtben eltérő, részben ellentétes irányú hatásokkal, és a kettős agonizmus testösszetételi és csontanyagcsere-következményei sem azonosak.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a tirzepatid külön bekezdésben, a GIP-komponens önálló tárgyalásával; vagy — ha a kézirat ezt nem vállalja — a tirzepatid teljes kivétele a mechanizmus-fejezetből és az 1. ábráról.</w:t>
      </w:r>
    </w:p>
    <w:p>
      <w:pPr>
        <w:spacing w:before="160"/>
      </w:pPr>
      <w:r>
        <w:rPr>
          <w:b/>
          <w:sz w:val="22"/>
        </w:rPr>
        <w:t>B.5 Az enterohepatikus ösztrogén-recirkuláció és a bélmikrobiom — *másodrendű, de releváns igény*</w:t>
      </w:r>
    </w:p>
    <w:p>
      <w:r>
        <w:rPr>
          <w:b w:val="0"/>
        </w:rPr>
        <w:t>A gyomorürülés lassulása, az epesav-anyagcsere (FXR/TGR5) és a bélmikrobiom változása az ösztrogének enterohepatikus recirkulációját is érinti. Nőgyógyászati közleményben ennek legalább felvetése indokolt.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egy bekezdés vagy legalább egy mondat arról, hogy a GLP-1RA melletti ösztrogén-expozíció változása nem vizsgált, és kutatási igény.</w:t>
      </w:r>
    </w:p>
    <w:p>
      <w:pPr>
        <w:spacing w:before="160"/>
      </w:pPr>
      <w:r>
        <w:rPr>
          <w:b/>
          <w:sz w:val="22"/>
        </w:rPr>
        <w:t>B.6 Tápanyaghiányok a csökkent bevitel mellett — *elsőrendű igény, gyakorlati következménnyel*</w:t>
      </w:r>
    </w:p>
    <w:p>
      <w:r>
        <w:rPr>
          <w:b w:val="0"/>
        </w:rPr>
        <w:t>Menstruáló serdülő leánynál a jelentősen csökkent energiabevitel közvetlen, mérhető biokémiai kockázatot jelent.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a kézirat írja elő a vas-státusz (ferritin, transzferrin-szaturáció), a B12-vitamin, a D-vitamin és a fehérjebevitel követését; nevezze meg a minimálisan szükséges napi fehérjebevitelt testsúlykilogrammra vetítve; és mondja ki, hogy a menstruációs vérvesztés és a csökkent vasbevitel együttese ebben a csoportban a leggyakoribb elhanyagolt szövődmény.</w:t>
      </w:r>
    </w:p>
    <w:p>
      <w:pPr>
        <w:spacing w:before="240"/>
      </w:pPr>
      <w:r>
        <w:rPr>
          <w:b/>
          <w:sz w:val="24"/>
        </w:rPr>
        <w:t>C. Metodikai igények</w:t>
      </w:r>
    </w:p>
    <w:p>
      <w:pPr>
        <w:spacing w:before="160"/>
      </w:pPr>
      <w:r>
        <w:rPr>
          <w:b/>
          <w:sz w:val="22"/>
        </w:rPr>
        <w:t>C.1 Testösszetétel-mérés a BMI-SDS helyett — *elsőrendű igény*</w:t>
      </w:r>
    </w:p>
    <w:p>
      <w:r>
        <w:rPr>
          <w:b w:val="0"/>
        </w:rPr>
        <w:t xml:space="preserve">A kézirat hormonális következtetéseket von le antropometriai végpontokból. A BMI és a BMI-SDS nem különíti el a zsírtömeget a zsírmentes tömegtől, márpedig az egész hormonális érvelés a </w:t>
      </w:r>
      <w:r>
        <w:rPr>
          <w:b/>
        </w:rPr>
        <w:t>zsigeri zsírtömegre</w:t>
      </w:r>
      <w:r>
        <w:rPr>
          <w:b w:val="0"/>
        </w:rPr>
        <w:t xml:space="preserve"> épül.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DXA vagy legalább többfrekvenciás bioimpedancia a zsírtömeg, a zsírmentes tömeg és a törzsi zsír elkülönítésére; a zsírmentes tömeg veszteségének </w:t>
      </w:r>
      <w:r>
        <w:rPr>
          <w:b/>
        </w:rPr>
        <w:t>százalékos jelentése kötelező elvárás</w:t>
      </w:r>
      <w:r>
        <w:rPr>
          <w:b w:val="0"/>
        </w:rPr>
        <w:t xml:space="preserve"> minden serdülőkori fogyásvizsgálatban; derék–magasság arány a derékkörfogat mellett.</w:t>
      </w:r>
    </w:p>
    <w:p>
      <w:pPr>
        <w:spacing w:before="160"/>
      </w:pPr>
      <w:r>
        <w:rPr>
          <w:b/>
          <w:sz w:val="22"/>
        </w:rPr>
        <w:t>C.2 Csontanyagcsere-monitorozás — *elsőrendű igény*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DXA-alapú lumbális és teljestest-csontásványianyag-tartalom életkorra és testméretre korrigálva (Z-score, magasságkorrekcióval); csontforgalmi markerek (P1NP, CTX); kalcium- és D-vitamin-státusz. Külön megfontolandó, hogy a lassult gyomorürülés a kalciumfelszívódást is érintheti — ez kutatási igényként rögzítendő.</w:t>
      </w:r>
    </w:p>
    <w:p>
      <w:pPr>
        <w:spacing w:before="160"/>
      </w:pPr>
      <w:r>
        <w:rPr>
          <w:b/>
          <w:sz w:val="22"/>
        </w:rPr>
        <w:t>C.3 Serdülőkori farmakokinetika — *lényegi igény*</w:t>
      </w:r>
    </w:p>
    <w:p>
      <w:r>
        <w:rPr>
          <w:b w:val="0"/>
        </w:rPr>
        <w:t>A kézirat felnőtt dózist és felnőtt expozíciót feltételez.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populációs farmakokinetikai adat a serdülőkorra (testsúly szerinti allometrikus skálázás, expozíció–válasz összefüggés); annak tisztázása, hogy a pubertáskori testösszetétel-változás módosítja-e az expozíciót; valamint a </w:t>
      </w:r>
      <w:r>
        <w:rPr>
          <w:b/>
        </w:rPr>
        <w:t>gyógyszerkölcsönhatások</w:t>
      </w:r>
      <w:r>
        <w:rPr>
          <w:b w:val="0"/>
        </w:rPr>
        <w:t xml:space="preserve"> — kiemelten az orális fogamzásgátló felszívódása a lassult gyomorürülés mellett, hatóanyagonként, az alkalmazási előírás alapján.</w:t>
      </w:r>
    </w:p>
    <w:p>
      <w:pPr>
        <w:spacing w:before="160"/>
      </w:pPr>
      <w:r>
        <w:rPr>
          <w:b/>
          <w:sz w:val="22"/>
        </w:rPr>
        <w:t>C.4 A washout konkretizálása a felezési időből — *elsőrendű igény*</w:t>
      </w:r>
    </w:p>
    <w:p>
      <w:r>
        <w:rPr>
          <w:b w:val="0"/>
        </w:rPr>
      </w:r>
      <w:r>
        <w:rPr>
          <w:b/>
        </w:rPr>
        <w:t>Igény:</w:t>
      </w:r>
      <w:r>
        <w:rPr>
          <w:b w:val="0"/>
        </w:rPr>
        <w:t xml:space="preserve"> hatóanyagonként a felezési időből levezetett, hetekben megadott washout-intervallum tervezett terhesség előtt, az alkalmazási előírás megfogalmazásával összevetve és attól való eltérés esetén annak indoklásával. Ez a kézirat egyik legkonkrétabb gyakorlati hozzáadott értéke lehet.</w:t>
      </w:r>
    </w:p>
    <w:p>
      <w:pPr>
        <w:spacing w:before="160"/>
      </w:pPr>
      <w:r>
        <w:rPr>
          <w:b/>
          <w:sz w:val="22"/>
        </w:rPr>
        <w:t>C.5 Reproduktív végpontok előírása jövőbeli vizsgálatokhoz — *elsőrendű igény*</w:t>
      </w:r>
    </w:p>
    <w:p>
      <w:r>
        <w:rPr>
          <w:b w:val="0"/>
        </w:rPr>
        <w:t xml:space="preserve">A kézirat helyesen állapítja meg, hogy a meglévő vizsgálatok egyike sem tekintett reproduktív végpontot elsődlegesnek. Ezt konstruktívvá kell tenni: nevezze meg, </w:t>
      </w:r>
      <w:r>
        <w:rPr>
          <w:b/>
        </w:rPr>
        <w:t>mely végpontokat kell</w:t>
      </w:r>
      <w:r>
        <w:rPr>
          <w:b w:val="0"/>
        </w:rPr>
        <w:t xml:space="preserve"> egy jövőbeli serdülőkori vizsgálatnak mérnie.</w:t>
      </w:r>
    </w:p>
    <w:p>
      <w:r>
        <w:rPr>
          <w:b w:val="0"/>
        </w:rPr>
      </w:r>
      <w:r>
        <w:rPr>
          <w:b/>
        </w:rPr>
        <w:t>Javasolt minimális végpontkészlet:</w:t>
      </w:r>
      <w:r>
        <w:rPr>
          <w:b w:val="0"/>
        </w:rPr>
      </w:r>
    </w:p>
    <w:p>
      <w:pPr>
        <w:spacing w:after="40"/>
      </w:pPr>
      <w:r>
        <w:rPr>
          <w:sz w:val="17"/>
        </w:rPr>
        <w:t>Domén | Végpont | Mérési mód</w:t>
      </w:r>
    </w:p>
    <w:p>
      <w:pPr>
        <w:spacing w:after="40"/>
      </w:pPr>
      <w:r>
        <w:rPr>
          <w:sz w:val="17"/>
        </w:rPr>
        <w:t>Ciklus | ciklushossz, ovulációs ciklusok aránya | ciklusnapló + luteális progeszteron</w:t>
      </w:r>
    </w:p>
    <w:p>
      <w:pPr>
        <w:spacing w:after="40"/>
      </w:pPr>
      <w:r>
        <w:rPr>
          <w:sz w:val="17"/>
        </w:rPr>
        <w:t>Androgén | összes tesztoszteron, SHBG, FAI, androsztendion | LC-MS/MS</w:t>
      </w:r>
    </w:p>
    <w:p>
      <w:pPr>
        <w:spacing w:after="40"/>
      </w:pPr>
      <w:r>
        <w:rPr>
          <w:sz w:val="17"/>
        </w:rPr>
        <w:t>Pubertás | Tanner-stádium, csontkor, növekedési sebesség, predikált végmagasság | standardizált mérés</w:t>
      </w:r>
    </w:p>
    <w:p>
      <w:pPr>
        <w:spacing w:after="40"/>
      </w:pPr>
      <w:r>
        <w:rPr>
          <w:sz w:val="17"/>
        </w:rPr>
        <w:t>Testösszetétel | zsírtömeg, zsírmentes tömeg, törzsi zsír | DXA</w:t>
      </w:r>
    </w:p>
    <w:p>
      <w:pPr>
        <w:spacing w:after="40"/>
      </w:pPr>
      <w:r>
        <w:rPr>
          <w:sz w:val="17"/>
        </w:rPr>
        <w:t>Csont | BMD Z-score, P1NP, CTX | DXA + labor</w:t>
      </w:r>
    </w:p>
    <w:p>
      <w:pPr>
        <w:spacing w:after="40"/>
      </w:pPr>
      <w:r>
        <w:rPr>
          <w:sz w:val="17"/>
        </w:rPr>
        <w:t>Gyulladás | hsCRP, IL-6, adiponektin/leptin | labor</w:t>
      </w:r>
    </w:p>
    <w:p>
      <w:pPr>
        <w:spacing w:after="40"/>
      </w:pPr>
      <w:r>
        <w:rPr>
          <w:sz w:val="17"/>
        </w:rPr>
        <w:t>Táplálkozás | ferritin, B12, D-vitamin, fehérjebevitel | labor + étrendi napló</w:t>
      </w:r>
    </w:p>
    <w:p>
      <w:pPr>
        <w:spacing w:after="40"/>
      </w:pPr>
      <w:r>
        <w:rPr>
          <w:sz w:val="17"/>
        </w:rPr>
        <w:t>Pszichoszociális | evészavar-tünetek, hangulat, szuicidalitás | validált kérdőív</w:t>
      </w:r>
    </w:p>
    <w:p>
      <w:pPr>
        <w:spacing w:after="40"/>
      </w:pPr>
      <w:r>
        <w:rPr>
          <w:sz w:val="17"/>
        </w:rPr>
        <w:t>Biztonságosság | terhességi expozíció regiszterben | prospektív regiszter</w:t>
      </w:r>
    </w:p>
    <w:p>
      <w:pPr>
        <w:spacing w:before="160"/>
      </w:pPr>
      <w:r>
        <w:rPr>
          <w:b/>
          <w:sz w:val="22"/>
        </w:rPr>
        <w:t>C.6 Nemek szerinti bontás követelménye — *lényegi igény*</w:t>
      </w:r>
    </w:p>
    <w:p>
      <w:r>
        <w:rPr>
          <w:b w:val="0"/>
        </w:rPr>
        <w:t xml:space="preserve">A kézirat megállapítja, hogy a vizsgálatok nem közlik a nemek szerinti bontást. Ezt elvárásként is meg kell fogalmazni: </w:t>
      </w:r>
      <w:r>
        <w:rPr>
          <w:b/>
        </w:rPr>
        <w:t>a serdülőkori obesitas-vizsgálatok eredményeit nemek szerint bontva kell közölni</w:t>
      </w:r>
      <w:r>
        <w:rPr>
          <w:b w:val="0"/>
        </w:rPr>
        <w:t>, mert a reproduktív következmények nemspecifikusak, és a jelenlegi közlési gyakorlat mellett a leányokra vonatkozó hatásbecslés nem állítható elő.</w:t>
      </w:r>
    </w:p>
    <w:p>
      <w:pPr>
        <w:spacing w:before="160"/>
      </w:pPr>
      <w:r>
        <w:rPr>
          <w:b/>
          <w:sz w:val="22"/>
        </w:rPr>
        <w:t>C.7 A gazdasági modell metodikai minimuma — *elsőrendű igény*</w:t>
      </w:r>
    </w:p>
    <w:p>
      <w:r>
        <w:rPr>
          <w:b w:val="0"/>
        </w:rPr>
      </w:r>
      <w:r>
        <w:rPr>
          <w:b/>
        </w:rPr>
        <w:t>Igények:</w:t>
      </w:r>
      <w:r>
        <w:rPr>
          <w:b w:val="0"/>
        </w:rPr>
        <w:t xml:space="preserve"> CHEERS 2022 szerinti jelentés; a modell típusának megnevezése (Markov-kohorsz vagy mikroszimuláció); ciklushossz; diszkontráta; perspektíva; az átmeneti valószínűségek forrása tételesen; egyirányú és valószínűségi érzékenységi elemzés; adherencia-paraméter; és a QALY-alapú értékelés akkor is, ha a fő eredmény költségalapú marad.</w:t>
      </w:r>
    </w:p>
    <w:p>
      <w:pPr>
        <w:spacing w:before="240"/>
      </w:pPr>
      <w:r>
        <w:rPr>
          <w:b/>
          <w:sz w:val="24"/>
        </w:rPr>
        <w:t>D. Az igények rangsora</w:t>
      </w:r>
    </w:p>
    <w:p>
      <w:r>
        <w:rPr>
          <w:b w:val="0"/>
        </w:rPr>
      </w:r>
      <w:r>
        <w:rPr>
          <w:b/>
        </w:rPr>
        <w:t>Anélkül nem közölhető:</w:t>
      </w:r>
      <w:r>
        <w:rPr>
          <w:b w:val="0"/>
        </w:rPr>
        <w:t xml:space="preserve"> A.1, A.2, B.2, B.6, C.1, C.4, C.7</w:t>
      </w:r>
    </w:p>
    <w:p>
      <w:r>
        <w:rPr>
          <w:b w:val="0"/>
        </w:rPr>
      </w:r>
      <w:r>
        <w:rPr>
          <w:b/>
        </w:rPr>
        <w:t>Jelentősen javítja a közleményt:</w:t>
      </w:r>
      <w:r>
        <w:rPr>
          <w:b w:val="0"/>
        </w:rPr>
        <w:t xml:space="preserve"> A.3, A.4, A.5, B.1, B.3, B.4, C.2, C.3, C.5, C.6</w:t>
      </w:r>
    </w:p>
    <w:p>
      <w:r>
        <w:rPr>
          <w:b w:val="0"/>
        </w:rPr>
      </w:r>
      <w:r>
        <w:rPr>
          <w:b/>
        </w:rPr>
        <w:t>Kívánatos:</w:t>
      </w:r>
      <w:r>
        <w:rPr>
          <w:b w:val="0"/>
        </w:rPr>
        <w:t xml:space="preserve"> B.5</w:t>
      </w:r>
    </w:p>
    <w:p>
      <w:pPr>
        <w:spacing w:before="240"/>
      </w:pPr>
      <w:r>
        <w:rPr>
          <w:b/>
          <w:sz w:val="24"/>
        </w:rPr>
        <w:t>E. Megjegyzés a bírálat jellegéhez</w:t>
      </w:r>
    </w:p>
    <w:p>
      <w:r>
        <w:rPr>
          <w:b w:val="0"/>
        </w:rPr>
        <w:t xml:space="preserve">Ez a bírálat nem azt állítja, hogy a kéziratban szereplő élettani és biokémiai állítások tévesek. Azt állítja, hogy a </w:t>
      </w:r>
      <w:r>
        <w:rPr>
          <w:b/>
        </w:rPr>
        <w:t>jelenlegi alátámasztási szintjük alacsonyabb, mint amit a megfogalmazásuk sugall</w:t>
      </w:r>
      <w:r>
        <w:rPr>
          <w:b w:val="0"/>
        </w:rPr>
        <w:t>, és megnevezi azt a mérési és bizonyítéki szintet, amellyel megállnának. A kézirat érdeme, hogy ezt a távolságot több helyen maga is kimondja; a javasolt átdolgozás iránya nem az állítások visszavonása, hanem a hiányzó szint explicit megnevezése — a kézirat így nemcsak összefoglaló, hanem kutatási napirend is lehet.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Metodikai–élettani–biokémiai bírálat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