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b/>
          <w:sz w:val="26"/>
        </w:rPr>
        <w:t>Metodikai–élettani–biokémiai bírálat</w:t>
      </w:r>
    </w:p>
    <w:p>
      <w:r>
        <w:rPr>
          <w:b w:val="0"/>
        </w:rPr>
      </w:r>
      <w:r>
        <w:rPr>
          <w:b/>
        </w:rPr>
        <w:t>Kézirat:</w:t>
      </w:r>
      <w:r>
        <w:rPr>
          <w:b w:val="0"/>
        </w:rPr>
        <w:t xml:space="preserve"> Inkretin-alapú terápiák a gyermeknőgyógyászati praxisban: a GLP-1 receptor agonisták hatása a serdülőkori reproduktív axisra</w:t>
      </w:r>
    </w:p>
    <w:p>
      <w:r>
        <w:rPr>
          <w:b w:val="0"/>
        </w:rPr>
      </w:r>
      <w:r>
        <w:rPr>
          <w:b/>
        </w:rPr>
        <w:t>A bírálat jellege:</w:t>
      </w:r>
      <w:r>
        <w:rPr>
          <w:b w:val="0"/>
        </w:rPr>
        <w:t xml:space="preserve"> igénymegjelölő. Nem a meglévő szöveg hibáit sorolja, hanem azt rögzíti, </w:t>
      </w:r>
      <w:r>
        <w:rPr>
          <w:b/>
        </w:rPr>
        <w:t>mit kell a kéziratnak tartalmaznia</w:t>
      </w:r>
      <w:r>
        <w:rPr>
          <w:b w:val="0"/>
        </w:rPr>
        <w:t xml:space="preserve">, illetve </w:t>
      </w:r>
      <w:r>
        <w:rPr>
          <w:b/>
        </w:rPr>
        <w:t>milyen mérésre és milyen bizonyítékra van szükség</w:t>
      </w:r>
      <w:r>
        <w:rPr>
          <w:b w:val="0"/>
        </w:rPr>
        <w:t xml:space="preserve"> ahhoz, hogy a benne szereplő élettani és biokémiai állítások megálljanak.</w:t>
      </w:r>
    </w:p>
    <w:p>
      <w:r>
        <w:rPr>
          <w:b w:val="0"/>
        </w:rPr>
      </w:r>
      <w:r>
        <w:rPr>
          <w:b/>
        </w:rPr>
        <w:t>A bírálat dátuma:</w:t>
      </w:r>
      <w:r>
        <w:rPr>
          <w:b w:val="0"/>
        </w:rPr>
        <w:t xml:space="preserve"> 2026-09-11</w:t>
      </w:r>
    </w:p>
    <w:p>
      <w:pPr>
        <w:spacing w:before="240"/>
      </w:pPr>
      <w:r>
        <w:rPr>
          <w:b/>
          <w:sz w:val="24"/>
        </w:rPr>
        <w:t>A. Élettani igények</w:t>
      </w:r>
    </w:p>
    <w:p>
      <w:pPr>
        <w:spacing w:before="160"/>
      </w:pPr>
      <w:r>
        <w:rPr>
          <w:b/>
          <w:sz w:val="22"/>
        </w:rPr>
        <w:t>A.1 A leptin–kisspeptin tengelyhez való viszony tisztázása — *elsőrendű igény*</w:t>
      </w:r>
    </w:p>
    <w:p>
      <w:r>
        <w:rPr>
          <w:b w:val="0"/>
        </w:rPr>
        <w:t xml:space="preserve">A kézirat a zsírszövet és a pubertás időzítése közötti kapcsolatot tárgyalja, de a testzsír → nemi érés összefüggés </w:t>
      </w:r>
      <w:r>
        <w:rPr>
          <w:b/>
        </w:rPr>
        <w:t>bizonyítottan ismert közvetítőjét, a leptin–kisspeptin (KNDy) tengelyt egyáltalán nem említi</w:t>
      </w:r>
      <w:r>
        <w:rPr>
          <w:b w:val="0"/>
        </w:rPr>
        <w:t>. Ez mechanisztikai szempontból a kézirat legnagyobb hiánya: az olvasó egy új, gyengén alátámasztott utat (közvetlen GLP-1-hatás) kap, miközben a régi, erősen alátámasztott utat (leptinjel a kisspeptin-neuronok felé) nem kapja meg viszonyítási alapként.</w:t>
      </w:r>
    </w:p>
    <w:p>
      <w:r>
        <w:rPr>
          <w:b w:val="0"/>
        </w:rPr>
      </w:r>
      <w:r>
        <w:rPr>
          <w:b/>
        </w:rPr>
        <w:t>Igény:</w:t>
      </w:r>
      <w:r>
        <w:rPr>
          <w:b w:val="0"/>
        </w:rPr>
        <w:t xml:space="preserve"> a mechanizmus-fejezetben szerepeljen egy bekezdés, amely a GLP-1-hatást a leptin–kisspeptin tengelyhez képest pozicionálja, és kimondja, hogy a GLP-1RA-indukálta zsírtömeg-csökkenés leptin-mediált úton </w:t>
      </w:r>
      <w:r>
        <w:rPr>
          <w:b/>
        </w:rPr>
        <w:t>is</w:t>
      </w:r>
      <w:r>
        <w:rPr>
          <w:b w:val="0"/>
        </w:rPr>
        <w:t xml:space="preserve"> hat a pubertás időzítésére — azaz a megfigyelt hatás nem tulajdonítható eleve közvetlen GLP-1-hatásnak. E nélkül az 1. ábra „közvetlen gonadális út" nyila félrevezető.</w:t>
      </w:r>
    </w:p>
    <w:p>
      <w:pPr>
        <w:spacing w:before="160"/>
      </w:pPr>
      <w:r>
        <w:rPr>
          <w:b/>
          <w:sz w:val="22"/>
        </w:rPr>
        <w:t>A.2 Az alacsony energia-hozzáférhetőség ellenhipotézisének tárgyalása — *elsőrendű igény*</w:t>
      </w:r>
    </w:p>
    <w:p>
      <w:r>
        <w:rPr>
          <w:b w:val="0"/>
        </w:rPr>
        <w:t xml:space="preserve">A kézirat egyirányú narratívát épít: fogyás → javuló ciklus. Fiziológiailag azonban a GLP-1RA melletti gyors testsúlycsökkenés és a jelentősen csökkent energiabevitel </w:t>
      </w:r>
      <w:r>
        <w:rPr>
          <w:b/>
        </w:rPr>
        <w:t>ellenkező irányban is hathat</w:t>
      </w:r>
      <w:r>
        <w:rPr>
          <w:b w:val="0"/>
        </w:rPr>
        <w:t>: az alacsony energia-hozzáférhetőség a funkcionális hypothalamicus amenorrhoea klasszikus kiváltója, és serdülőkorban különösen érzékeny a GnRH-pulzusgenerátor.</w:t>
      </w:r>
    </w:p>
    <w:p>
      <w:r>
        <w:rPr>
          <w:b w:val="0"/>
        </w:rPr>
      </w:r>
      <w:r>
        <w:rPr>
          <w:b/>
        </w:rPr>
        <w:t>Igény:</w:t>
      </w:r>
      <w:r>
        <w:rPr>
          <w:b w:val="0"/>
        </w:rPr>
        <w:t xml:space="preserve"> a kézirat ismerje el, hogy a serdülőkori GLP-1RA-kezelés a reproduktív tengelyre nézve </w:t>
      </w:r>
      <w:r>
        <w:rPr>
          <w:b/>
        </w:rPr>
        <w:t>kétirányú kockázatot</w:t>
      </w:r>
      <w:r>
        <w:rPr>
          <w:b w:val="0"/>
        </w:rPr>
        <w:t xml:space="preserve"> hordoz, és adja meg azt az energiabeviteli és testsúlyvesztési sebességküszöböt, amely alatt a funkcionális amenorrhoea kockázata emelkedik. Ha ilyen küszöb nincs publikálva, ezt kutatási igényként kell megfogalmazni.</w:t>
      </w:r>
    </w:p>
    <w:p>
      <w:pPr>
        <w:spacing w:before="160"/>
      </w:pPr>
      <w:r>
        <w:rPr>
          <w:b/>
          <w:sz w:val="22"/>
        </w:rPr>
        <w:t>A.3 A növekedés és a végleges testmagasság kezelése — *elsőrendű igény*</w:t>
      </w:r>
    </w:p>
    <w:p>
      <w:r>
        <w:rPr>
          <w:b w:val="0"/>
        </w:rPr>
        <w:t xml:space="preserve">A 8–14 éves sávban a beavatkozás a növekedési fázisba nyúlik bele. A kézirat a Tanner-stádium, a növekedési sebesség és a csontkor követését előírja, de nem mondja meg, hogy </w:t>
      </w:r>
      <w:r>
        <w:rPr>
          <w:b/>
        </w:rPr>
        <w:t>mit kell mérni és mikor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</w:r>
    </w:p>
    <w:p>
      <w:r>
        <w:rPr>
          <w:b w:val="0"/>
        </w:rPr>
        <w:t>- növekedési sebesség (cm/év) legalább félévenkénti magasságméréssel, standardizált stadiométerrel;</w:t>
      </w:r>
    </w:p>
    <w:p>
      <w:r>
        <w:rPr>
          <w:b w:val="0"/>
        </w:rPr>
        <w:t>- csontkor meghatározás (Greulich–Pyle vagy TW3) a kezelés indításakor és 12 havonta;</w:t>
      </w:r>
    </w:p>
    <w:p>
      <w:r>
        <w:rPr>
          <w:b w:val="0"/>
        </w:rPr>
        <w:t>- predikált végleges testmagasság becslése és követése;</w:t>
      </w:r>
    </w:p>
    <w:p>
      <w:r>
        <w:rPr>
          <w:b w:val="0"/>
        </w:rPr>
        <w:t xml:space="preserve">- a magasság-SDS és a BMI-SDS </w:t>
      </w:r>
      <w:r>
        <w:rPr>
          <w:b/>
        </w:rPr>
        <w:t>külön</w:t>
      </w:r>
      <w:r>
        <w:rPr>
          <w:b w:val="0"/>
        </w:rPr>
        <w:t xml:space="preserve"> jelentése, mert a BMI-SDS csökkenése magasságnövekedésből is származhat.</w:t>
      </w:r>
    </w:p>
    <w:p>
      <w:pPr>
        <w:spacing w:before="160"/>
      </w:pPr>
      <w:r>
        <w:rPr>
          <w:b/>
          <w:sz w:val="22"/>
        </w:rPr>
        <w:t>A.4 A pubertásfejlődés objektív mérése — *elsőrendű igény*</w:t>
      </w:r>
    </w:p>
    <w:p>
      <w:r>
        <w:rPr>
          <w:b w:val="0"/>
        </w:rPr>
        <w:t>A Tanner-stádium önmagában nem elég egy tengelyhatás kimutatásához.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  <w:t xml:space="preserve"> bazális LH és FSH, ösztradiol (érzékeny, LC-MS/MS módszerrel), AMH, valamint kismedencei ultrahang (uterus-térfogat, ovarium-térfogat). Külön kimondandó, hogy az </w:t>
      </w:r>
      <w:r>
        <w:rPr>
          <w:b/>
        </w:rPr>
        <w:t>AMH serdülőkorban nem diagnosztikus</w:t>
      </w:r>
      <w:r>
        <w:rPr>
          <w:b w:val="0"/>
        </w:rPr>
        <w:t xml:space="preserve"> a PCOS-ra nézve, és hogy a legérzékenyebb tengelymutató, az éjszakai LH-pulzatilitás, rutinszerűen nem mérhető — ez korlátként rögzítendő.</w:t>
      </w:r>
    </w:p>
    <w:p>
      <w:pPr>
        <w:spacing w:before="160"/>
      </w:pPr>
      <w:r>
        <w:rPr>
          <w:b/>
          <w:sz w:val="22"/>
        </w:rPr>
        <w:t>A.5 A GLP-1 receptor humán, juvenilis szöveti expressziójának bizonyítéka — *elsőrendű igény*</w:t>
      </w:r>
    </w:p>
    <w:p>
      <w:r>
        <w:rPr>
          <w:b w:val="0"/>
        </w:rPr>
        <w:t xml:space="preserve">A „közvetlen gonadális út" előfeltétele, hogy a receptor jelen legyen a humán hypothalamusban, hypophysisben és ovariumban, </w:t>
      </w:r>
      <w:r>
        <w:rPr>
          <w:b/>
        </w:rPr>
        <w:t>a vizsgált életkorban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Igény:</w:t>
      </w:r>
      <w:r>
        <w:rPr>
          <w:b w:val="0"/>
        </w:rPr>
        <w:t xml:space="preserve"> humán szöveti receptorexpressziós adat idézése (immunhisztokémia, egysejtes transzkriptomika); ennek hiányában a kézirat mondja ki, hogy a receptor jelenléte a humán juvenilis gonadális tengelyen nem igazolt, és az extrapoláció rágcsáló-adatból történik.</w:t>
      </w:r>
    </w:p>
    <w:p>
      <w:pPr>
        <w:spacing w:before="240"/>
      </w:pPr>
      <w:r>
        <w:rPr>
          <w:b/>
          <w:sz w:val="24"/>
        </w:rPr>
        <w:t>B. Biokémiai igények</w:t>
      </w:r>
    </w:p>
    <w:p>
      <w:pPr>
        <w:spacing w:before="160"/>
      </w:pPr>
      <w:r>
        <w:rPr>
          <w:b/>
          <w:sz w:val="22"/>
        </w:rPr>
        <w:t>B.1 Az SHBG-emelkedés molekuláris mechanizmusa — *lényegi igény*</w:t>
      </w:r>
    </w:p>
    <w:p>
      <w:r>
        <w:rPr>
          <w:b w:val="0"/>
        </w:rPr>
        <w:t>A kézirat ok-okozati láncot állít fel: inzulinrezisztencia ↓ → SHBG ↑ → szabad tesztoszteron ↓. A lánc középső tagja nincs kifejtve.</w:t>
      </w:r>
    </w:p>
    <w:p>
      <w:r>
        <w:rPr>
          <w:b w:val="0"/>
        </w:rPr>
      </w:r>
      <w:r>
        <w:rPr>
          <w:b/>
        </w:rPr>
        <w:t>Igény:</w:t>
      </w:r>
      <w:r>
        <w:rPr>
          <w:b w:val="0"/>
        </w:rPr>
        <w:t xml:space="preserve"> a hepatikus SHBG-transzkripció szabályozásának megnevezése (a HNF-4α-mediált transzkripció, illetve a hepatikus de novo lipogenezis és a monoszacharid-terhelés SHBG-t csökkentő hatása), és annak kimondása, hogy a MASLD javulása önálló SHBG-emelő tényező. E nélkül az állítás asszociáció, nem mechanizmus.</w:t>
      </w:r>
    </w:p>
    <w:p>
      <w:pPr>
        <w:spacing w:before="160"/>
      </w:pPr>
      <w:r>
        <w:rPr>
          <w:b/>
          <w:sz w:val="22"/>
        </w:rPr>
        <w:t>B.2 Az androgénmérés analitikai követelménye — *elsőrendű igény*</w:t>
      </w:r>
    </w:p>
    <w:p>
      <w:r>
        <w:rPr>
          <w:b w:val="0"/>
        </w:rPr>
        <w:t>A kézirat „szabad tesztoszteron ↓" és „androsztendion ↓" állításokat közöl serdülő leányokra vonatkoztatva. Ebben a koncentrációtartományban az immunoassay-alapú tesztoszteronmérés megbízhatatlan.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</w:r>
    </w:p>
    <w:p>
      <w:r>
        <w:rPr>
          <w:b w:val="0"/>
        </w:rPr>
        <w:t xml:space="preserve">- minden androgénértéknél nevezze meg a mérési módszert; serdülő leány esetén </w:t>
      </w:r>
      <w:r>
        <w:rPr>
          <w:b/>
        </w:rPr>
        <w:t>LC-MS/MS</w:t>
      </w:r>
      <w:r>
        <w:rPr>
          <w:b w:val="0"/>
        </w:rPr>
        <w:t xml:space="preserve"> az elvárt referencia;</w:t>
      </w:r>
    </w:p>
    <w:p>
      <w:r>
        <w:rPr>
          <w:b w:val="0"/>
        </w:rPr>
        <w:t>- a szabad tesztoszteron ne közvetlen immunoassay-ből, hanem összes tesztoszteron + SHBG alapján számított szabad androgén indexből (FAI) vagy számított szabad tesztoszteronból származzon, a számítási képlet megnevezésével;</w:t>
      </w:r>
    </w:p>
    <w:p>
      <w:r>
        <w:rPr>
          <w:b w:val="0"/>
        </w:rPr>
        <w:t>- életkor- és Tanner-stádium-specifikus referenciatartomány használata, nem felnőtt referencia.</w:t>
      </w:r>
    </w:p>
    <w:p>
      <w:pPr>
        <w:spacing w:before="160"/>
      </w:pPr>
      <w:r>
        <w:rPr>
          <w:b/>
          <w:sz w:val="22"/>
        </w:rPr>
        <w:t>B.3 A gyulladásos állítás alátámasztása CRP-n túl — *lényegi igény*</w:t>
      </w:r>
    </w:p>
    <w:p>
      <w:r>
        <w:rPr>
          <w:b w:val="0"/>
        </w:rPr>
        <w:t>A „gyulladáscsökkentő, részben testsúlyfüggetlen hatás" állítás jelenleg egyetlen, downstream, hepatikus akut fázis fehérje (CRP) összevont hatásméretén nyugszik. A CRP nem mechanizmus, hanem következmény.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</w:r>
    </w:p>
    <w:p>
      <w:r>
        <w:rPr>
          <w:b w:val="0"/>
        </w:rPr>
        <w:t>- upstream markerek megnevezése: IL-6, TNF-α, valamint az adiponektin/leptin arány mint zsírszövet-funkciós index;</w:t>
      </w:r>
    </w:p>
    <w:p>
      <w:r>
        <w:rPr>
          <w:b w:val="0"/>
        </w:rPr>
        <w:t xml:space="preserve">- a „testsúlytól részben független" állítás </w:t>
      </w:r>
      <w:r>
        <w:rPr>
          <w:b/>
        </w:rPr>
        <w:t>mediációs elemzést</w:t>
      </w:r>
      <w:r>
        <w:rPr>
          <w:b w:val="0"/>
        </w:rPr>
        <w:t xml:space="preserve"> igényel (a hatás mekkora hányada fut a testsúlyváltozáson keresztül); pooled SMD ezt nem tudja bizonyítani. Ha ilyen elemzés nincs, az állítást hipotézisre kell gyengíteni;</w:t>
      </w:r>
    </w:p>
    <w:p>
      <w:r>
        <w:rPr>
          <w:b w:val="0"/>
        </w:rPr>
        <w:t>- nőgyógyászati relevancia esetén a lokális, endometrialis és peritonealis gyulladásos markerekre vonatkozó igény külön megfogalmazása — a szisztémás CRP-ből az endometrium-mikrokörnyezetre következtetni nem lehet.</w:t>
      </w:r>
    </w:p>
    <w:p>
      <w:pPr>
        <w:spacing w:before="160"/>
      </w:pPr>
      <w:r>
        <w:rPr>
          <w:b/>
          <w:sz w:val="22"/>
        </w:rPr>
        <w:t>B.4 A tirzepatid mechanisztikai elkülönítése — *lényegi igény*</w:t>
      </w:r>
    </w:p>
    <w:p>
      <w:r>
        <w:rPr>
          <w:b w:val="0"/>
        </w:rPr>
        <w:t>A kézirat a tirzepatidot a GLP-1RA-k mellett említi, egy lábjegyzettel a törzskönyvezésről. Biokémiailag ez nem elég: a GIP-receptor-jelátvitel a zsírsejtben eltérő, részben ellentétes irányú hatásokkal, és a kettős agonizmus testösszetételi és csontanyagcsere-következményei sem azonosak.</w:t>
      </w:r>
    </w:p>
    <w:p>
      <w:r>
        <w:rPr>
          <w:b w:val="0"/>
        </w:rPr>
      </w:r>
      <w:r>
        <w:rPr>
          <w:b/>
        </w:rPr>
        <w:t>Igény:</w:t>
      </w:r>
      <w:r>
        <w:rPr>
          <w:b w:val="0"/>
        </w:rPr>
        <w:t xml:space="preserve"> a tirzepatid külön bekezdésben, a GIP-komponens önálló tárgyalásával; vagy — ha a kézirat ezt nem vállalja — a tirzepatid teljes kivétele a mechanizmus-fejezetből és az 1. ábráról.</w:t>
      </w:r>
    </w:p>
    <w:p>
      <w:pPr>
        <w:spacing w:before="160"/>
      </w:pPr>
      <w:r>
        <w:rPr>
          <w:b/>
          <w:sz w:val="22"/>
        </w:rPr>
        <w:t>B.5 Az enterohepatikus ösztrogén-recirkuláció és a bélmikrobiom — *másodrendű, de releváns igény*</w:t>
      </w:r>
    </w:p>
    <w:p>
      <w:r>
        <w:rPr>
          <w:b w:val="0"/>
        </w:rPr>
        <w:t>A gyomorürülés lassulása, az epesav-anyagcsere (FXR/TGR5) és a bélmikrobiom változása az ösztrogének enterohepatikus recirkulációját is érinti. Nőgyógyászati közleményben ennek legalább felvetése indokolt.</w:t>
      </w:r>
    </w:p>
    <w:p>
      <w:r>
        <w:rPr>
          <w:b w:val="0"/>
        </w:rPr>
      </w:r>
      <w:r>
        <w:rPr>
          <w:b/>
        </w:rPr>
        <w:t>Igény:</w:t>
      </w:r>
      <w:r>
        <w:rPr>
          <w:b w:val="0"/>
        </w:rPr>
        <w:t xml:space="preserve"> egy bekezdés vagy legalább egy mondat arról, hogy a GLP-1RA melletti ösztrogén-expozíció változása nem vizsgált, és kutatási igény.</w:t>
      </w:r>
    </w:p>
    <w:p>
      <w:pPr>
        <w:spacing w:before="160"/>
      </w:pPr>
      <w:r>
        <w:rPr>
          <w:b/>
          <w:sz w:val="22"/>
        </w:rPr>
        <w:t>B.6 Tápanyaghiányok a csökkent bevitel mellett — *elsőrendű igény, gyakorlati következménnyel*</w:t>
      </w:r>
    </w:p>
    <w:p>
      <w:r>
        <w:rPr>
          <w:b w:val="0"/>
        </w:rPr>
        <w:t>Menstruáló serdülő leánynál a jelentősen csökkent energiabevitel közvetlen, mérhető biokémiai kockázatot jelent.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  <w:t xml:space="preserve"> a kézirat írja elő a vas-státusz (ferritin, transzferrin-szaturáció), a B12-vitamin, a D-vitamin és a fehérjebevitel követését; nevezze meg a minimálisan szükséges napi fehérjebevitelt testsúlykilogrammra vetítve; és mondja ki, hogy a menstruációs vérvesztés és a csökkent vasbevitel együttese ebben a csoportban a leggyakoribb elhanyagolt szövődmény.</w:t>
      </w:r>
    </w:p>
    <w:p>
      <w:pPr>
        <w:spacing w:before="240"/>
      </w:pPr>
      <w:r>
        <w:rPr>
          <w:b/>
          <w:sz w:val="24"/>
        </w:rPr>
        <w:t>C. Metodikai igények</w:t>
      </w:r>
    </w:p>
    <w:p>
      <w:pPr>
        <w:spacing w:before="160"/>
      </w:pPr>
      <w:r>
        <w:rPr>
          <w:b/>
          <w:sz w:val="22"/>
        </w:rPr>
        <w:t>C.1 Testösszetétel-mérés a BMI-SDS helyett — *elsőrendű igény*</w:t>
      </w:r>
    </w:p>
    <w:p>
      <w:r>
        <w:rPr>
          <w:b w:val="0"/>
        </w:rPr>
        <w:t xml:space="preserve">A kézirat hormonális következtetéseket von le antropometriai végpontokból. A BMI és a BMI-SDS nem különíti el a zsírtömeget a zsírmentes tömegtől, márpedig az egész hormonális érvelés a </w:t>
      </w:r>
      <w:r>
        <w:rPr>
          <w:b/>
        </w:rPr>
        <w:t>zsigeri zsírtömegre</w:t>
      </w:r>
      <w:r>
        <w:rPr>
          <w:b w:val="0"/>
        </w:rPr>
        <w:t xml:space="preserve"> épül.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  <w:t xml:space="preserve"> DXA vagy legalább többfrekvenciás bioimpedancia a zsírtömeg, a zsírmentes tömeg és a törzsi zsír elkülönítésére; a zsírmentes tömeg veszteségének </w:t>
      </w:r>
      <w:r>
        <w:rPr>
          <w:b/>
        </w:rPr>
        <w:t>százalékos jelentése kötelező elvárás</w:t>
      </w:r>
      <w:r>
        <w:rPr>
          <w:b w:val="0"/>
        </w:rPr>
        <w:t xml:space="preserve"> minden serdülőkori fogyásvizsgálatban; derék–magasság arány a derékkörfogat mellett.</w:t>
      </w:r>
    </w:p>
    <w:p>
      <w:pPr>
        <w:spacing w:before="160"/>
      </w:pPr>
      <w:r>
        <w:rPr>
          <w:b/>
          <w:sz w:val="22"/>
        </w:rPr>
        <w:t>C.2 Csontanyagcsere-monitorozás — *elsőrendű igény*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  <w:t xml:space="preserve"> DXA-alapú lumbális és teljestest-csontásványianyag-tartalom életkorra és testméretre korrigálva (Z-score, magasságkorrekcióval); csontforgalmi markerek (P1NP, CTX); kalcium- és D-vitamin-státusz. Külön megfontolandó, hogy a lassult gyomorürülés a kalciumfelszívódást is érintheti — ez kutatási igényként rögzítendő.</w:t>
      </w:r>
    </w:p>
    <w:p>
      <w:pPr>
        <w:spacing w:before="160"/>
      </w:pPr>
      <w:r>
        <w:rPr>
          <w:b/>
          <w:sz w:val="22"/>
        </w:rPr>
        <w:t>C.3 Serdülőkori farmakokinetika — *lényegi igény*</w:t>
      </w:r>
    </w:p>
    <w:p>
      <w:r>
        <w:rPr>
          <w:b w:val="0"/>
        </w:rPr>
        <w:t>A kézirat felnőtt dózist és felnőtt expozíciót feltételez.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  <w:t xml:space="preserve"> populációs farmakokinetikai adat a serdülőkorra (testsúly szerinti allometrikus skálázás, expozíció–válasz összefüggés); annak tisztázása, hogy a pubertáskori testösszetétel-változás módosítja-e az expozíciót; valamint a </w:t>
      </w:r>
      <w:r>
        <w:rPr>
          <w:b/>
        </w:rPr>
        <w:t>gyógyszerkölcsönhatások</w:t>
      </w:r>
      <w:r>
        <w:rPr>
          <w:b w:val="0"/>
        </w:rPr>
        <w:t xml:space="preserve"> — kiemelten az orális fogamzásgátló felszívódása a lassult gyomorürülés mellett, hatóanyagonként, az alkalmazási előírás alapján.</w:t>
      </w:r>
    </w:p>
    <w:p>
      <w:pPr>
        <w:spacing w:before="160"/>
      </w:pPr>
      <w:r>
        <w:rPr>
          <w:b/>
          <w:sz w:val="22"/>
        </w:rPr>
        <w:t>C.4 A washout konkretizálása a felezési időből — *elsőrendű igény*</w:t>
      </w:r>
    </w:p>
    <w:p>
      <w:r>
        <w:rPr>
          <w:b w:val="0"/>
        </w:rPr>
      </w:r>
      <w:r>
        <w:rPr>
          <w:b/>
        </w:rPr>
        <w:t>Igény:</w:t>
      </w:r>
      <w:r>
        <w:rPr>
          <w:b w:val="0"/>
        </w:rPr>
        <w:t xml:space="preserve"> hatóanyagonként a felezési időből levezetett, hetekben megadott washout-intervallum tervezett terhesség előtt, az alkalmazási előírás megfogalmazásával összevetve és attól való eltérés esetén annak indoklásával. Ez a kézirat egyik legkonkrétabb gyakorlati hozzáadott értéke lehet.</w:t>
      </w:r>
    </w:p>
    <w:p>
      <w:pPr>
        <w:spacing w:before="160"/>
      </w:pPr>
      <w:r>
        <w:rPr>
          <w:b/>
          <w:sz w:val="22"/>
        </w:rPr>
        <w:t>C.5 Reproduktív végpontok előírása jövőbeli vizsgálatokhoz — *elsőrendű igény*</w:t>
      </w:r>
    </w:p>
    <w:p>
      <w:r>
        <w:rPr>
          <w:b w:val="0"/>
        </w:rPr>
        <w:t xml:space="preserve">A kézirat helyesen állapítja meg, hogy a meglévő vizsgálatok egyike sem tekintett reproduktív végpontot elsődlegesnek. Ezt konstruktívvá kell tenni: nevezze meg, </w:t>
      </w:r>
      <w:r>
        <w:rPr>
          <w:b/>
        </w:rPr>
        <w:t>mely végpontokat kell</w:t>
      </w:r>
      <w:r>
        <w:rPr>
          <w:b w:val="0"/>
        </w:rPr>
        <w:t xml:space="preserve"> egy jövőbeli serdülőkori vizsgálatnak mérnie.</w:t>
      </w:r>
    </w:p>
    <w:p>
      <w:r>
        <w:rPr>
          <w:b w:val="0"/>
        </w:rPr>
      </w:r>
      <w:r>
        <w:rPr>
          <w:b/>
        </w:rPr>
        <w:t>Javasolt minimális végpontkészlet:</w:t>
      </w:r>
      <w:r>
        <w:rPr>
          <w:b w:val="0"/>
        </w:rPr>
      </w:r>
    </w:p>
    <w:p>
      <w:pPr>
        <w:spacing w:after="40"/>
      </w:pPr>
      <w:r>
        <w:rPr>
          <w:sz w:val="17"/>
        </w:rPr>
        <w:t>Domén | Végpont | Mérési mód</w:t>
      </w:r>
    </w:p>
    <w:p>
      <w:pPr>
        <w:spacing w:after="40"/>
      </w:pPr>
      <w:r>
        <w:rPr>
          <w:sz w:val="17"/>
        </w:rPr>
        <w:t>Ciklus | ciklushossz, ovulációs ciklusok aránya | ciklusnapló + luteális progeszteron</w:t>
      </w:r>
    </w:p>
    <w:p>
      <w:pPr>
        <w:spacing w:after="40"/>
      </w:pPr>
      <w:r>
        <w:rPr>
          <w:sz w:val="17"/>
        </w:rPr>
        <w:t>Androgén | összes tesztoszteron, SHBG, FAI, androsztendion | LC-MS/MS</w:t>
      </w:r>
    </w:p>
    <w:p>
      <w:pPr>
        <w:spacing w:after="40"/>
      </w:pPr>
      <w:r>
        <w:rPr>
          <w:sz w:val="17"/>
        </w:rPr>
        <w:t>Pubertás | Tanner-stádium, csontkor, növekedési sebesség, predikált végmagasság | standardizált mérés</w:t>
      </w:r>
    </w:p>
    <w:p>
      <w:pPr>
        <w:spacing w:after="40"/>
      </w:pPr>
      <w:r>
        <w:rPr>
          <w:sz w:val="17"/>
        </w:rPr>
        <w:t>Testösszetétel | zsírtömeg, zsírmentes tömeg, törzsi zsír | DXA</w:t>
      </w:r>
    </w:p>
    <w:p>
      <w:pPr>
        <w:spacing w:after="40"/>
      </w:pPr>
      <w:r>
        <w:rPr>
          <w:sz w:val="17"/>
        </w:rPr>
        <w:t>Csont | BMD Z-score, P1NP, CTX | DXA + labor</w:t>
      </w:r>
    </w:p>
    <w:p>
      <w:pPr>
        <w:spacing w:after="40"/>
      </w:pPr>
      <w:r>
        <w:rPr>
          <w:sz w:val="17"/>
        </w:rPr>
        <w:t>Gyulladás | hsCRP, IL-6, adiponektin/leptin | labor</w:t>
      </w:r>
    </w:p>
    <w:p>
      <w:pPr>
        <w:spacing w:after="40"/>
      </w:pPr>
      <w:r>
        <w:rPr>
          <w:sz w:val="17"/>
        </w:rPr>
        <w:t>Táplálkozás | ferritin, B12, D-vitamin, fehérjebevitel | labor + étrendi napló</w:t>
      </w:r>
    </w:p>
    <w:p>
      <w:pPr>
        <w:spacing w:after="40"/>
      </w:pPr>
      <w:r>
        <w:rPr>
          <w:sz w:val="17"/>
        </w:rPr>
        <w:t>Pszichoszociális | evészavar-tünetek, hangulat, szuicidalitás | validált kérdőív</w:t>
      </w:r>
    </w:p>
    <w:p>
      <w:pPr>
        <w:spacing w:after="40"/>
      </w:pPr>
      <w:r>
        <w:rPr>
          <w:sz w:val="17"/>
        </w:rPr>
        <w:t>Biztonságosság | terhességi expozíció regiszterben | prospektív regiszter</w:t>
      </w:r>
    </w:p>
    <w:p>
      <w:pPr>
        <w:spacing w:before="160"/>
      </w:pPr>
      <w:r>
        <w:rPr>
          <w:b/>
          <w:sz w:val="22"/>
        </w:rPr>
        <w:t>C.6 Nemek szerinti bontás követelménye — *lényegi igény*</w:t>
      </w:r>
    </w:p>
    <w:p>
      <w:r>
        <w:rPr>
          <w:b w:val="0"/>
        </w:rPr>
        <w:t xml:space="preserve">A kézirat megállapítja, hogy a vizsgálatok nem közlik a nemek szerinti bontást. Ezt elvárásként is meg kell fogalmazni: </w:t>
      </w:r>
      <w:r>
        <w:rPr>
          <w:b/>
        </w:rPr>
        <w:t>a serdülőkori obesitas-vizsgálatok eredményeit nemek szerint bontva kell közölni</w:t>
      </w:r>
      <w:r>
        <w:rPr>
          <w:b w:val="0"/>
        </w:rPr>
        <w:t>, mert a reproduktív következmények nemspecifikusak, és a jelenlegi közlési gyakorlat mellett a leányokra vonatkozó hatásbecslés nem állítható elő.</w:t>
      </w:r>
    </w:p>
    <w:p>
      <w:pPr>
        <w:spacing w:before="160"/>
      </w:pPr>
      <w:r>
        <w:rPr>
          <w:b/>
          <w:sz w:val="22"/>
        </w:rPr>
        <w:t>C.7 A gazdasági modell metodikai minimuma — *elsőrendű igény*</w:t>
      </w:r>
    </w:p>
    <w:p>
      <w:r>
        <w:rPr>
          <w:b w:val="0"/>
        </w:rPr>
      </w:r>
      <w:r>
        <w:rPr>
          <w:b/>
        </w:rPr>
        <w:t>Igények:</w:t>
      </w:r>
      <w:r>
        <w:rPr>
          <w:b w:val="0"/>
        </w:rPr>
        <w:t xml:space="preserve"> CHEERS 2022 szerinti jelentés; a modell típusának megnevezése (Markov-kohorsz vagy mikroszimuláció); ciklushossz; diszkontráta; perspektíva; az átmeneti valószínűségek forrása tételesen; egyirányú és valószínűségi érzékenységi elemzés; adherencia-paraméter; és a QALY-alapú értékelés akkor is, ha a fő eredmény költségalapú marad.</w:t>
      </w:r>
    </w:p>
    <w:p>
      <w:pPr>
        <w:spacing w:before="240"/>
      </w:pPr>
      <w:r>
        <w:rPr>
          <w:b/>
          <w:sz w:val="24"/>
        </w:rPr>
        <w:t>D. Az igények rangsora</w:t>
      </w:r>
    </w:p>
    <w:p>
      <w:r>
        <w:rPr>
          <w:b w:val="0"/>
        </w:rPr>
      </w:r>
      <w:r>
        <w:rPr>
          <w:b/>
        </w:rPr>
        <w:t>Anélkül nem közölhető:</w:t>
      </w:r>
      <w:r>
        <w:rPr>
          <w:b w:val="0"/>
        </w:rPr>
        <w:t xml:space="preserve"> A.1, A.2, B.2, B.6, C.1, C.4, C.7</w:t>
      </w:r>
    </w:p>
    <w:p>
      <w:r>
        <w:rPr>
          <w:b w:val="0"/>
        </w:rPr>
      </w:r>
      <w:r>
        <w:rPr>
          <w:b/>
        </w:rPr>
        <w:t>Jelentősen javítja a közleményt:</w:t>
      </w:r>
      <w:r>
        <w:rPr>
          <w:b w:val="0"/>
        </w:rPr>
        <w:t xml:space="preserve"> A.3, A.4, A.5, B.1, B.3, B.4, C.2, C.3, C.5, C.6</w:t>
      </w:r>
    </w:p>
    <w:p>
      <w:r>
        <w:rPr>
          <w:b w:val="0"/>
        </w:rPr>
      </w:r>
      <w:r>
        <w:rPr>
          <w:b/>
        </w:rPr>
        <w:t>Kívánatos:</w:t>
      </w:r>
      <w:r>
        <w:rPr>
          <w:b w:val="0"/>
        </w:rPr>
        <w:t xml:space="preserve"> B.5</w:t>
      </w:r>
    </w:p>
    <w:p>
      <w:pPr>
        <w:spacing w:before="240"/>
      </w:pPr>
      <w:r>
        <w:rPr>
          <w:b/>
          <w:sz w:val="24"/>
        </w:rPr>
        <w:t>E. Megjegyzés a bírálat jellegéhez</w:t>
      </w:r>
    </w:p>
    <w:p>
      <w:r>
        <w:rPr>
          <w:b w:val="0"/>
        </w:rPr>
        <w:t xml:space="preserve">Ez a bírálat nem azt állítja, hogy a kéziratban szereplő élettani és biokémiai állítások tévesek. Azt állítja, hogy a </w:t>
      </w:r>
      <w:r>
        <w:rPr>
          <w:b/>
        </w:rPr>
        <w:t>jelenlegi alátámasztási szintjük alacsonyabb, mint amit a megfogalmazásuk sugall</w:t>
      </w:r>
      <w:r>
        <w:rPr>
          <w:b w:val="0"/>
        </w:rPr>
        <w:t>, és megnevezi azt a mérési és bizonyítéki szintet, amellyel megállnának. A kézirat érdeme, hogy ezt a távolságot több helyen maga is kimondja; a javasolt átdolgozás iránya nem az állítások visszavonása, hanem a hiányzó szint explicit megnevezése — a kézirat így nemcsak összefoglaló, hanem kutatási napirend is lehet.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Metodikai–élettani–biokémiai bírálat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