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b/>
          <w:sz w:val="26"/>
        </w:rPr>
        <w:t>Javítási napló</w:t>
      </w:r>
    </w:p>
    <w:p>
      <w:r>
        <w:rPr>
          <w:b w:val="0"/>
        </w:rPr>
      </w:r>
      <w:r>
        <w:rPr>
          <w:b/>
        </w:rPr>
        <w:t>Kézirat:</w:t>
      </w:r>
      <w:r>
        <w:rPr>
          <w:b w:val="0"/>
        </w:rPr>
        <w:t xml:space="preserve"> Inkretin-alapú terápiák a gyermeknőgyógyászati praxisban</w:t>
      </w:r>
    </w:p>
    <w:p>
      <w:r>
        <w:rPr>
          <w:b w:val="0"/>
        </w:rPr>
      </w:r>
      <w:r>
        <w:rPr>
          <w:b/>
        </w:rPr>
        <w:t>Alapja:</w:t>
      </w:r>
      <w:r>
        <w:rPr>
          <w:b w:val="0"/>
        </w:rPr>
        <w:t xml:space="preserve"> a rigorózus bírálat (1.) és a metodikai–élettani–biokémiai bírálat (2.)</w:t>
      </w:r>
    </w:p>
    <w:p>
      <w:r>
        <w:rPr>
          <w:b w:val="0"/>
        </w:rPr>
      </w:r>
      <w:r>
        <w:rPr>
          <w:b/>
        </w:rPr>
        <w:t>Dátum:</w:t>
      </w:r>
      <w:r>
        <w:rPr>
          <w:b w:val="0"/>
        </w:rPr>
        <w:t xml:space="preserve"> 2026-09-11</w:t>
      </w:r>
    </w:p>
    <w:p>
      <w:pPr>
        <w:spacing w:before="240"/>
      </w:pPr>
      <w:r>
        <w:rPr>
          <w:b/>
          <w:sz w:val="24"/>
        </w:rPr>
        <w:t>A. A rigorózus bírálat pontjai</w:t>
      </w:r>
    </w:p>
    <w:p>
      <w:pPr>
        <w:spacing w:after="40"/>
      </w:pPr>
      <w:r>
        <w:rPr>
          <w:sz w:val="17"/>
        </w:rPr>
        <w:t># | Kifogás | Állapot | Mi történt</w:t>
      </w:r>
    </w:p>
    <w:p>
      <w:pPr>
        <w:spacing w:after="40"/>
      </w:pPr>
      <w:r>
        <w:rPr>
          <w:sz w:val="17"/>
        </w:rPr>
        <w:t>2.1 | A gazdasági modell érzékenységi elemzés és diszkontálás nélkül nem védhető | **lezárva** | A modell újraépült: 3%/év diszkontálás, hatelemű egyirányú érzékenységi elemzés (ár, testsúlymediált hatás, fogyásfüggetlen hatás, adherencia, indirekt költségek, diszkontráta), a származtatott értékek kerekítve. Új 3. ábra (c) és (d) panel, új 3. táblázat.</w:t>
      </w:r>
    </w:p>
    <w:p>
      <w:pPr>
        <w:spacing w:after="40"/>
      </w:pPr>
      <w:r>
        <w:rPr>
          <w:sz w:val="17"/>
        </w:rPr>
        <w:t>2.1 (adherencia) | A modell 52 év folyamatos kezelést feltételez | **lezárva** | Adherencia önálló paraméter (50–100%), az érzékenységi elemzésben szerepel.</w:t>
      </w:r>
    </w:p>
    <w:p>
      <w:pPr>
        <w:spacing w:after="40"/>
      </w:pPr>
      <w:r>
        <w:rPr>
          <w:sz w:val="17"/>
        </w:rPr>
        <w:t>2.1 (perspektíva) | Nincs megnevezve a perspektíva | **lezárva** | Kimondottan **társadalmi perspektíva**; a közvetlen ellátási költséggel számolt változat külön szerepel a 3. ábra (c) paneljén és a 3. táblázatban.</w:t>
      </w:r>
    </w:p>
    <w:p>
      <w:pPr>
        <w:spacing w:after="40"/>
      </w:pPr>
      <w:r>
        <w:rPr>
          <w:sz w:val="17"/>
        </w:rPr>
        <w:t>2.1 (magyar kontextus) | Euróban, magyar vonatkozás nélkül | **lezárva** | A modell forintra állt át, 2025-ös magyar árszinten, 5 000–35 000 Ft/hó gyógyszerársávval.</w:t>
      </w:r>
    </w:p>
    <w:p>
      <w:pPr>
        <w:spacing w:after="40"/>
      </w:pPr>
      <w:r>
        <w:rPr>
          <w:sz w:val="17"/>
        </w:rPr>
        <w:t>2.2 | Hiányzik a szuicidalitás és a pancreatitis | **lezárva** | Önálló „Biztonságosság" alfejezet; a SCALE Teens liraglutid-karján bekövetkezett befejezett öngyilkosság a szövegben és az 1. táblázatban is szerepel, a pancreatitis megnevezve.</w:t>
      </w:r>
    </w:p>
    <w:p>
      <w:pPr>
        <w:spacing w:after="40"/>
      </w:pPr>
      <w:r>
        <w:rPr>
          <w:sz w:val="17"/>
        </w:rPr>
        <w:t>2.3 | A fogamzásgátlás farmakológiai oldala hiányzik | **lezárva** | Három lépésre bontott alfejezet: indikáció, hatóanyagonkénti interakció (a tirzepatid orális fogamzásgátlóra gyakorolt hatása külön), és a felezési időből levezetett washout.</w:t>
      </w:r>
    </w:p>
    <w:p>
      <w:pPr>
        <w:spacing w:after="40"/>
      </w:pPr>
      <w:r>
        <w:rPr>
          <w:sz w:val="17"/>
        </w:rPr>
        <w:t>2.4 | A módszertani bekezdés több rigort ígér | **lezárva** | Kimondja, hogy a keresés **nem szisztematikus**, egy szerző végezte, szűrési folyamatábra nélkül.</w:t>
      </w:r>
    </w:p>
    <w:p>
      <w:pPr>
        <w:spacing w:after="40"/>
      </w:pPr>
      <w:r>
        <w:rPr>
          <w:sz w:val="17"/>
        </w:rPr>
        <w:t>2.5 | Az „öt hatásdomén" keret eredete | **lezárva** | A Módszertan kimondja: didaktikai keret, nem validált taxonómia.</w:t>
      </w:r>
    </w:p>
    <w:p>
      <w:pPr>
        <w:spacing w:after="40"/>
      </w:pPr>
      <w:r>
        <w:rPr>
          <w:sz w:val="17"/>
        </w:rPr>
        <w:t>2.6 | A korai menarche állítás analógián nyugszik | **lezárva** | Közvetlen hivatkozás beépítve (BMI-visszapattanás és pubertásidőzítés kohorszvizsgálat), plusz a fordított irányú mendeli randomizációs bizonyíték.</w:t>
      </w:r>
    </w:p>
    <w:p>
      <w:pPr>
        <w:spacing w:after="40"/>
      </w:pPr>
      <w:r>
        <w:rPr>
          <w:sz w:val="17"/>
        </w:rPr>
        <w:t>2.7 | A közvetlen gonadális út egyetlen állatkísérleten nyugszik | **lezárva** | Az útvonal explicit hipotézis-státuszba került a szövegben, a 4. ábrán szaggatott nyíllal és „HIPOTÉZIS" felirattal.</w:t>
      </w:r>
    </w:p>
    <w:p>
      <w:pPr>
        <w:spacing w:after="40"/>
      </w:pPr>
      <w:r>
        <w:rPr>
          <w:sz w:val="17"/>
        </w:rPr>
        <w:t>2.8 | Az 1. táblázat felnőtt vizsgálatot sorol gyermekkori táblázatba | **lezárva** | A SURMOUNT-sor kikerült a táblázattestből egy külön, „a korosztályon kívüli, de releváns bizonyíték" blokkba, a SELECT-tel együtt.</w:t>
      </w:r>
    </w:p>
    <w:p>
      <w:pPr>
        <w:spacing w:after="40"/>
      </w:pPr>
      <w:r>
        <w:rPr>
          <w:sz w:val="17"/>
        </w:rPr>
        <w:t>2.9 | Az endometriosis forrásbázisa vékony | **lezárva** | Önálló metaanalízis beemelve: minden 5 kg/m² BMI-emelkedés az endometriosis kockázatának csökkenésével jár (RR 0,67; 95% CI 0,53–0,84).</w:t>
      </w:r>
    </w:p>
    <w:p>
      <w:pPr>
        <w:spacing w:after="40"/>
      </w:pPr>
      <w:r>
        <w:rPr>
          <w:sz w:val="17"/>
        </w:rPr>
        <w:t>3.1 | A GBD-hivatkozás dekoratív | **lezárva** | A mondat és a hivatkozás is törölve.</w:t>
      </w:r>
    </w:p>
    <w:p>
      <w:pPr>
        <w:spacing w:after="40"/>
      </w:pPr>
      <w:r>
        <w:rPr>
          <w:sz w:val="17"/>
        </w:rPr>
        <w:t>3.2 | A 2. táblázat összege eseményszám, nem személyszám | **lezárva** | A lábjegyzet félkövérrel mondja ki.</w:t>
      </w:r>
    </w:p>
    <w:p>
      <w:pPr>
        <w:spacing w:after="40"/>
      </w:pPr>
      <w:r>
        <w:rPr>
          <w:sz w:val="17"/>
        </w:rPr>
        <w:t>3.3 | A „longevity” szó magyarázat nélkül | **lezárva** | A fejezetcím magyarra váltott: „Élettartam-kockázat (longevity)”.</w:t>
      </w:r>
    </w:p>
    <w:p>
      <w:pPr>
        <w:spacing w:after="40"/>
      </w:pPr>
      <w:r>
        <w:rPr>
          <w:sz w:val="17"/>
        </w:rPr>
        <w:t>3.5 | Rövidítésjegyzék hiányzik | **lezárva** | Az 1. és a 4. ábra aláírása teljes rövidítés-feloldást tartalmaz; a táblázatoknál külön rövidítéssor.</w:t>
      </w:r>
    </w:p>
    <w:p>
      <w:pPr>
        <w:spacing w:after="40"/>
      </w:pPr>
      <w:r>
        <w:rPr>
          <w:sz w:val="17"/>
        </w:rPr>
        <w:t>3.6 | Szürkeárnyalatos ellenőrzés | **lezárva** | Mind a négy ábrából elkészült a szürkeárnyalatos változat, a 3. ábra vonalai vonaltípussal is elkülönítve.</w:t>
      </w:r>
    </w:p>
    <w:p>
      <w:pPr>
        <w:spacing w:after="40"/>
      </w:pPr>
      <w:r>
        <w:rPr>
          <w:sz w:val="17"/>
        </w:rPr>
        <w:t>5. | Címoldal kitöltendő | **részben** | A szerző neve és e-mail címe beírva; a munkahely és a levelezési cím továbbra is a szerzőre vár (ezeket nem ismerjük).</w:t>
      </w:r>
    </w:p>
    <w:p>
      <w:pPr>
        <w:spacing w:before="240"/>
      </w:pPr>
      <w:r>
        <w:rPr>
          <w:b/>
          <w:sz w:val="24"/>
        </w:rPr>
        <w:t>B. A metodikai–élettani–biokémiai bírálat igényei</w:t>
      </w:r>
    </w:p>
    <w:p>
      <w:pPr>
        <w:spacing w:after="40"/>
      </w:pPr>
      <w:r>
        <w:rPr>
          <w:sz w:val="17"/>
        </w:rPr>
        <w:t># | Igény | Állapot | Mi történt</w:t>
      </w:r>
    </w:p>
    <w:p>
      <w:pPr>
        <w:spacing w:after="40"/>
      </w:pPr>
      <w:r>
        <w:rPr>
          <w:sz w:val="17"/>
        </w:rPr>
        <w:t>A.1 | A leptin–kisspeptin tengelyhez való viszony | **teljesítve** | Önálló mechanizmus-alfejezet a leptin → POMC/α-MSH → MC3/4R → Kiss1 → GnRH láncról, két hivatkozással, és kimondja, hogy a pubertásváltozás elsődlegesen zsírtömeg- és leptinmediált. A 4. ábra 2. sávja ezt rajzolja meg.</w:t>
      </w:r>
    </w:p>
    <w:p>
      <w:pPr>
        <w:spacing w:after="40"/>
      </w:pPr>
      <w:r>
        <w:rPr>
          <w:sz w:val="17"/>
        </w:rPr>
        <w:t>A.2 | Az alacsony energia-hozzáférhetőség ellenhipotézise | **teljesítve** | Önálló, ötödik mechanizmus a szövegben és a 4. ábrán; az Összefoglalásban és a Következtetésekben is megjelenik a kétirányúság.</w:t>
      </w:r>
    </w:p>
    <w:p>
      <w:pPr>
        <w:spacing w:after="40"/>
      </w:pPr>
      <w:r>
        <w:rPr>
          <w:sz w:val="17"/>
        </w:rPr>
        <w:t>A.3 | Növekedés és végleges testmagasság | **lezárva** | A **4. táblázat** külön sorokban adja meg: magasság-SDS és növekedési sebesség félévente, csontkor és predikált végmagasság évente.</w:t>
      </w:r>
    </w:p>
    <w:p>
      <w:pPr>
        <w:spacing w:after="40"/>
      </w:pPr>
      <w:r>
        <w:rPr>
          <w:sz w:val="17"/>
        </w:rPr>
        <w:t>A.4 | A pubertásfejlődés objektív mérése | **lezárva** | A **4. táblázat** gonadális tengely sora: LH, FSH, ösztradiol (LC-MS/MS), AMH, ultrahang — azzal a megszorítással, hogy az AMH serdülőkorban nem diagnosztikus.</w:t>
      </w:r>
    </w:p>
    <w:p>
      <w:pPr>
        <w:spacing w:after="40"/>
      </w:pPr>
      <w:r>
        <w:rPr>
          <w:sz w:val="17"/>
        </w:rPr>
        <w:t>A.5 | Humán juvenilis GLP-1R-expresszió | **teljesítve** | A szöveg és a 4. ábra is kimondja: a humán juvenilis gonadális tengelyen a receptor jelenléte nem igazolt.</w:t>
      </w:r>
    </w:p>
    <w:p>
      <w:pPr>
        <w:spacing w:after="40"/>
      </w:pPr>
      <w:r>
        <w:rPr>
          <w:sz w:val="17"/>
        </w:rPr>
        <w:t>B.1 | Az SHBG-emelkedés molekuláris mechanizmusa | **teljesítve** | A hepatikus de novo lipogenezis → HNF-4α → SHBG-promoter lánc kifejtve, hivatkozással; a MASLD önálló SHBG-csökkentő szerepe megnevezve. A 4. ábra 1. sávja ezt mutatja.</w:t>
      </w:r>
    </w:p>
    <w:p>
      <w:pPr>
        <w:spacing w:after="40"/>
      </w:pPr>
      <w:r>
        <w:rPr>
          <w:sz w:val="17"/>
        </w:rPr>
        <w:t>B.2 | Androgénmérés analitikai követelménye | **lezárva** | Önálló bekezdés a szövegben **és** a 4. táblázat androgén sora: LC-MS/MS referencia, számított szabad androgén index, és az a klinikai csapda, hogy alacsony SHBG mellett a normális összes tesztoszteron elfedheti az androgéntúlsúlyt.</w:t>
      </w:r>
    </w:p>
    <w:p>
      <w:pPr>
        <w:spacing w:after="40"/>
      </w:pPr>
      <w:r>
        <w:rPr>
          <w:sz w:val="17"/>
        </w:rPr>
        <w:t>B.3 | A gyulladásos állítás CRP-n túl | **teljesítve** | A szöveg kimondja, hogy a CRP downstream marker, nem mechanizmus, megnevezi az upstream mediátorokat, és a „testsúlytól részben független" állítást hipotézisre gyengíti, mediációs elemzést kérve.</w:t>
      </w:r>
    </w:p>
    <w:p>
      <w:pPr>
        <w:spacing w:after="40"/>
      </w:pPr>
      <w:r>
        <w:rPr>
          <w:sz w:val="17"/>
        </w:rPr>
        <w:t>B.4 | A tirzepatid mechanisztikai elkülönítése | **teljesítve** | Önálló bekezdés a GIP-komponensről; kimondja, hogy a reproduktív következtetések rá nem terjeszthetők ki.</w:t>
      </w:r>
    </w:p>
    <w:p>
      <w:pPr>
        <w:spacing w:after="40"/>
      </w:pPr>
      <w:r>
        <w:rPr>
          <w:sz w:val="17"/>
        </w:rPr>
        <w:t>B.5 | Enterohepatikus ösztrogén-recirkuláció | **lezárva** | Önálló bekezdés az „estrobolóma” β-glükuronidáz-aktivitásáról, azzal a megjegyzéssel, hogy az inkretin-hatás iránya erre nem vizsgált.</w:t>
      </w:r>
    </w:p>
    <w:p>
      <w:pPr>
        <w:spacing w:after="40"/>
      </w:pPr>
      <w:r>
        <w:rPr>
          <w:sz w:val="17"/>
        </w:rPr>
        <w:t>B.6 | Tápanyaghiányok | **lezárva** | A **4. táblázat** táplálkozás sora: ferritin, transzferrin-szaturáció, B12, D-vitamin, fehérjebevitel 6 havonta, a menstruációs vérvesztés indoklásával.</w:t>
      </w:r>
    </w:p>
    <w:p>
      <w:pPr>
        <w:spacing w:after="40"/>
      </w:pPr>
      <w:r>
        <w:rPr>
          <w:sz w:val="17"/>
        </w:rPr>
        <w:t>C.1 | Testösszetétel-mérés BMI-SDS helyett | **lezárva** | A **4. táblázat** testösszetétel sora: DXA vagy többfrekvenciás bioimpedancia, a zsírmentes tömeg veszteségének külön jelentésével.</w:t>
      </w:r>
    </w:p>
    <w:p>
      <w:pPr>
        <w:spacing w:after="40"/>
      </w:pPr>
      <w:r>
        <w:rPr>
          <w:sz w:val="17"/>
        </w:rPr>
        <w:t>C.3 | Serdülőkori farmakokinetika | **teljesítve** | A felezési idők és a szerkezeti módosítások a mechanizmus-fejezetben, a gyógyszerkölcsönhatás a gyakorlati fejezetben.</w:t>
      </w:r>
    </w:p>
    <w:p>
      <w:pPr>
        <w:spacing w:after="40"/>
      </w:pPr>
      <w:r>
        <w:rPr>
          <w:sz w:val="17"/>
        </w:rPr>
        <w:t>C.4 | A washout konkretizálása | **teljesítve** | Hatóanyagonként, a felezési időből levezetve, az alkalmazási előírásra való utalással.</w:t>
      </w:r>
    </w:p>
    <w:p>
      <w:pPr>
        <w:spacing w:after="40"/>
      </w:pPr>
      <w:r>
        <w:rPr>
          <w:sz w:val="17"/>
        </w:rPr>
        <w:t>C.5 | Jövőbeli végpontkészlet | **lezárva** | A **4. táblázat** egyben ezt is megadja: lábjegyzete kimondja, hogy ez a minimális végpontkészlet egy jövőbeli, reproduktív végpontokra tervezett vizsgálathoz.</w:t>
      </w:r>
    </w:p>
    <w:p>
      <w:pPr>
        <w:spacing w:after="40"/>
      </w:pPr>
      <w:r>
        <w:rPr>
          <w:sz w:val="17"/>
        </w:rPr>
        <w:t>C.6 | Nemek szerinti bontás követelménye | **teljesítve** | A klinikai fejezet kimondja, hogy a bontás hiányzik, és emiatt a leányokra vonatkozó hatásbecslés nem állítható elő.</w:t>
      </w:r>
    </w:p>
    <w:p>
      <w:pPr>
        <w:spacing w:after="40"/>
      </w:pPr>
      <w:r>
        <w:rPr>
          <w:sz w:val="17"/>
        </w:rPr>
        <w:t>C.7 | A gazdasági modell metodikai minimuma | **lezárva** | Hozzáadva a **valószínűségi érzékenységi elemzés** (4000 Monte Carlo-futtatás, csonkított normális paraméterhúzások): 3. ábra (e) panel és 3. táblázat. QALY-értékelés továbbra sincs, ezt a Korlátok kimondja.</w:t>
      </w:r>
    </w:p>
    <w:p>
      <w:pPr>
        <w:spacing w:before="240"/>
      </w:pPr>
      <w:r>
        <w:rPr>
          <w:b/>
          <w:sz w:val="24"/>
        </w:rPr>
        <w:t>C. Amit a szerző kérésére a bírálaton felül építettünk be</w:t>
      </w:r>
    </w:p>
    <w:p>
      <w:r>
        <w:rPr>
          <w:b w:val="0"/>
        </w:rPr>
        <w:t xml:space="preserve">1. </w:t>
      </w:r>
      <w:r>
        <w:rPr>
          <w:b/>
        </w:rPr>
        <w:t>Gyógyszerársáv.</w:t>
      </w:r>
      <w:r>
        <w:rPr>
          <w:b w:val="0"/>
        </w:rPr>
        <w:t xml:space="preserve"> A modell 5 000–35 000 Ft/hó tartományban vizsgálja a nettó mérleget, három kiemelt árponttal.</w:t>
      </w:r>
    </w:p>
    <w:p>
      <w:r>
        <w:rPr>
          <w:b w:val="0"/>
        </w:rPr>
        <w:t xml:space="preserve">2. </w:t>
      </w:r>
      <w:r>
        <w:rPr>
          <w:b/>
        </w:rPr>
        <w:t>Munkahelyi távollétek.</w:t>
      </w:r>
      <w:r>
        <w:rPr>
          <w:b w:val="0"/>
        </w:rPr>
        <w:t xml:space="preserve"> Az obesitasra visszavezethető többlet-betegnapok 30 000 Ft/munkanap társadalmi értéken, 18 éves kortól.</w:t>
      </w:r>
    </w:p>
    <w:p>
      <w:r>
        <w:rPr>
          <w:b w:val="0"/>
        </w:rPr>
        <w:t xml:space="preserve">3. </w:t>
      </w:r>
      <w:r>
        <w:rPr>
          <w:b/>
        </w:rPr>
        <w:t>Reprodukciós veszteség.</w:t>
      </w:r>
      <w:r>
        <w:rPr>
          <w:b w:val="0"/>
        </w:rPr>
        <w:t xml:space="preserve"> Az anovulációs infertilitás miatti többlet asszisztált reprodukciós ciklusok és a gestatiós diabetesszel szövődött terhességek költsége a 25–40 éves sávban.</w:t>
      </w:r>
    </w:p>
    <w:p>
      <w:r>
        <w:rPr>
          <w:b w:val="0"/>
        </w:rPr>
        <w:t xml:space="preserve">4. </w:t>
      </w:r>
      <w:r>
        <w:rPr>
          <w:b/>
        </w:rPr>
        <w:t>Fogyásfüggetlen kockázatcsökkenés.</w:t>
      </w:r>
      <w:r>
        <w:rPr>
          <w:b w:val="0"/>
        </w:rPr>
        <w:t xml:space="preserve"> Önálló modellparaméter a kardiometabolikus hányadra, a SELECT vizsgálat és a testsúlyeredmény diszkrepanciájára alapozva, az érzékenységi elemzésben 0–30% tartománnyal.</w:t>
      </w:r>
    </w:p>
    <w:p>
      <w:r>
        <w:rPr>
          <w:b w:val="0"/>
        </w:rPr>
      </w:r>
      <w:r>
        <w:rPr>
          <w:b/>
        </w:rPr>
        <w:t>A legfontosabb új eredmény:</w:t>
      </w:r>
      <w:r>
        <w:rPr>
          <w:b w:val="0"/>
        </w:rPr>
        <w:t xml:space="preserve"> a munkahelyi távollétek és a reprodukciós veszteség beszámítása a költségsemleges küszöbárat havi ~17 000 forintról ~23 000 forintra emeli, azaz önmagában mintegy 6 000 Ft/hó árkülönbséget ér. A fogyásfüggetlen hatás ehhez képest kis tétel: az árnál és az adherenciánál nagyságrenddel kisebb mértékben mozgatja a mérleget.</w:t>
      </w:r>
    </w:p>
    <w:p>
      <w:pPr>
        <w:spacing w:before="240"/>
      </w:pPr>
      <w:r>
        <w:rPr>
          <w:b/>
          <w:sz w:val="24"/>
        </w:rPr>
        <w:t>D. Ellenőrzés a javítás után</w:t>
      </w:r>
    </w:p>
    <w:p>
      <w:r>
        <w:rPr>
          <w:b w:val="0"/>
        </w:rPr>
        <w:t xml:space="preserve">- </w:t>
      </w:r>
      <w:r>
        <w:rPr>
          <w:b/>
        </w:rPr>
        <w:t>6D bibliográfiai validáció:</w:t>
      </w:r>
      <w:r>
        <w:rPr>
          <w:b w:val="0"/>
        </w:rPr>
        <w:t xml:space="preserve"> 45/45 tétel megfelelt mind a hét dimenzióban (Crossref + PubMed).</w:t>
      </w:r>
    </w:p>
    <w:p>
      <w:r>
        <w:rPr>
          <w:b w:val="0"/>
        </w:rPr>
        <w:t xml:space="preserve">- </w:t>
      </w:r>
      <w:r>
        <w:rPr>
          <w:b/>
        </w:rPr>
        <w:t>Cit-ref kereszt-ellenőrzés:</w:t>
      </w:r>
      <w:r>
        <w:rPr>
          <w:b w:val="0"/>
        </w:rPr>
        <w:t xml:space="preserve"> nincs idézetlen tétel, nincs jegyzékből hiányzó idézet, a számozás az első előfordulás sorrendjét követi.</w:t>
      </w:r>
    </w:p>
    <w:p>
      <w:r>
        <w:rPr>
          <w:b w:val="0"/>
        </w:rPr>
        <w:t xml:space="preserve">- </w:t>
      </w:r>
      <w:r>
        <w:rPr>
          <w:b/>
        </w:rPr>
        <w:t>Terjedelem:</w:t>
      </w:r>
      <w:r>
        <w:rPr>
          <w:b w:val="0"/>
        </w:rPr>
        <w:t xml:space="preserve"> törzsszöveg 3489 szó (határ: 3500), összefoglalás 328 szó (határ: 350), angol abstract 307 szó, 45 hivatkozás (határ: 80).</w:t>
      </w:r>
    </w:p>
    <w:p>
      <w:pPr>
        <w:spacing w:before="240"/>
      </w:pPr>
      <w:r>
        <w:rPr>
          <w:b/>
          <w:sz w:val="24"/>
        </w:rPr>
        <w:t>E. A második javítási kör (a maradék nyitott pontok)</w:t>
      </w:r>
    </w:p>
    <w:p>
      <w:r>
        <w:rPr>
          <w:b w:val="0"/>
        </w:rPr>
        <w:t xml:space="preserve">1. </w:t>
      </w:r>
      <w:r>
        <w:rPr>
          <w:b/>
        </w:rPr>
        <w:t>Négy új hivatkozás</w:t>
      </w:r>
      <w:r>
        <w:rPr>
          <w:b w:val="0"/>
        </w:rPr>
        <w:t xml:space="preserve"> a korábban forrás nélkül maradt állításokhoz: BMI–endometriosis metaanalízis, androgénmérés analitikai buktatói, estrobolóma, valamint a dekoratív GBD-hivatkozás törlése.</w:t>
      </w:r>
    </w:p>
    <w:p>
      <w:r>
        <w:rPr>
          <w:b w:val="0"/>
        </w:rPr>
        <w:t xml:space="preserve">2. </w:t>
      </w:r>
      <w:r>
        <w:rPr>
          <w:b/>
        </w:rPr>
        <w:t>Új 4. táblázat</w:t>
      </w:r>
      <w:r>
        <w:rPr>
          <w:b w:val="0"/>
        </w:rPr>
        <w:t xml:space="preserve"> — „A serdülőkori inkretin-kezelés gondozási és mérési minimuma": tizenegy doménben adja meg, mit, mivel, mikor és miért kell mérni. Ez a táblázat zárja le egyszerre a növekedés, a pubertásmérés, a testösszetétel, a csont, a táplálkozás és a jövőbeli végpontkészlet igényét — táblázatban, tehát a szószámkorlát terhelése nélkül.</w:t>
      </w:r>
    </w:p>
    <w:p>
      <w:r>
        <w:rPr>
          <w:b w:val="0"/>
        </w:rPr>
        <w:t xml:space="preserve">3. </w:t>
      </w:r>
      <w:r>
        <w:rPr>
          <w:b/>
        </w:rPr>
        <w:t>Valószínűségi érzékenységi elemzés</w:t>
      </w:r>
      <w:r>
        <w:rPr>
          <w:b w:val="0"/>
        </w:rPr>
        <w:t xml:space="preserve"> a gazdasági modellben: 4000 Monte Carlo-futtatás, és a megtakarítás valószínűsége az ár függvényében (3. ábra (e) panel). A modell feltételezései külön panelen (f) is megjelennek — ami szerepel benne, és ami szándékosan nem.</w:t>
      </w:r>
    </w:p>
    <w:p>
      <w:r>
        <w:rPr>
          <w:b w:val="0"/>
        </w:rPr>
        <w:t xml:space="preserve">4. </w:t>
      </w:r>
      <w:r>
        <w:rPr>
          <w:b/>
        </w:rPr>
        <w:t>A négy ábra részletes képpromptja</w:t>
      </w:r>
      <w:r>
        <w:rPr>
          <w:b w:val="0"/>
        </w:rPr>
        <w:t>, olyan szerkezeti pontossággal, hogy az ábrák külső eszközzel is újraépíthetők legyenek.</w:t>
      </w:r>
    </w:p>
    <w:p>
      <w:r>
        <w:rPr>
          <w:b w:val="0"/>
        </w:rPr>
        <w:t xml:space="preserve">5. </w:t>
      </w:r>
      <w:r>
        <w:rPr>
          <w:b/>
        </w:rPr>
        <w:t>Az azonosító-térkép származtatottá tétele.</w:t>
      </w:r>
      <w:r>
        <w:rPr>
          <w:b w:val="0"/>
        </w:rPr>
        <w:t xml:space="preserve"> A 6D ellenőrző DOI/PMID-térképe korábban kézzel készült, és a hivatkozásszám változásakor elavult. Most az `ids.json` az egyetlen forrás, és a sorszámozó generálja belőle a térképet — így nem tud többé elcsúszni.</w:t>
      </w:r>
    </w:p>
    <w:p>
      <w:r>
        <w:rPr>
          <w:b w:val="0"/>
        </w:rPr>
      </w:r>
      <w:r>
        <w:rPr>
          <w:b/>
        </w:rPr>
        <w:t>Változatlanul nyitva:</w:t>
      </w:r>
      <w:r>
        <w:rPr>
          <w:b w:val="0"/>
        </w:rPr>
        <w:t xml:space="preserve"> a címoldalon a munkahely és a levelezési cím (ezeket nem ismerjük), valamint a modell szerkezeti bizonytalansága, amit a Korlátok kimond.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Javítási napló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