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28"/>
        </w:rPr>
        <w:t>Fiatalkori elhízás és kezelése: hazai helyzetkép és a GLP-1-receptor-agonisták helye a terápiás lépcsőben</w:t>
      </w:r>
    </w:p>
    <w:p>
      <w:pPr>
        <w:spacing w:line="480" w:lineRule="auto"/>
        <w:jc w:val="center"/>
      </w:pPr>
      <w:r>
        <w:rPr>
          <w:b/>
          <w:i w:val="0"/>
          <w:sz w:val="24"/>
        </w:rPr>
        <w:t>Rövid cím:</w:t>
      </w:r>
      <w:r>
        <w:rPr>
          <w:b w:val="0"/>
          <w:i w:val="0"/>
          <w:sz w:val="24"/>
        </w:rPr>
        <w:t xml:space="preserve"> Fiatalkori elhízás – a terápiás lépcső</w:t>
      </w:r>
    </w:p>
    <w:p/>
    <w:p>
      <w:pPr>
        <w:spacing w:line="360" w:lineRule="auto"/>
        <w:jc w:val="center"/>
      </w:pPr>
      <w:r>
        <w:rPr>
          <w:rFonts w:ascii="Times New Roman" w:hAnsi="Times New Roman"/>
          <w:b/>
          <w:sz w:val="24"/>
        </w:rPr>
        <w:t>Dézsi Csilla dr.</w:t>
      </w:r>
      <w:r>
        <w:rPr>
          <w:rFonts w:ascii="Times New Roman" w:hAnsi="Times New Roman"/>
          <w:sz w:val="24"/>
          <w:vertAlign w:val="superscript"/>
        </w:rPr>
        <w:t>1,2,3,4</w:t>
      </w:r>
      <w:r>
        <w:rPr>
          <w:rFonts w:ascii="Times New Roman" w:hAnsi="Times New Roman"/>
          <w:sz w:val="24"/>
        </w:rPr>
        <w:t xml:space="preserve">, </w:t>
      </w:r>
      <w:r>
        <w:rPr>
          <w:rFonts w:ascii="Times New Roman" w:hAnsi="Times New Roman"/>
          <w:b/>
          <w:sz w:val="24"/>
        </w:rPr>
        <w:t>Gulyás-Oldal Viktor dr.</w:t>
      </w:r>
      <w:r>
        <w:rPr>
          <w:rFonts w:ascii="Times New Roman" w:hAnsi="Times New Roman"/>
          <w:sz w:val="24"/>
          <w:vertAlign w:val="superscript"/>
        </w:rPr>
        <w:t>1,2</w:t>
      </w:r>
      <w:r>
        <w:rPr>
          <w:rFonts w:ascii="Times New Roman" w:hAnsi="Times New Roman"/>
          <w:sz w:val="24"/>
        </w:rPr>
        <w:t xml:space="preserve">, </w:t>
      </w:r>
      <w:r>
        <w:rPr>
          <w:rFonts w:ascii="Times New Roman" w:hAnsi="Times New Roman"/>
          <w:b/>
          <w:sz w:val="24"/>
        </w:rPr>
        <w:t>Gálóczi Imre</w:t>
      </w:r>
      <w:r>
        <w:rPr>
          <w:rFonts w:ascii="Times New Roman" w:hAnsi="Times New Roman"/>
          <w:sz w:val="24"/>
          <w:vertAlign w:val="superscript"/>
        </w:rPr>
        <w:t>1,2</w:t>
      </w:r>
      <w:r>
        <w:rPr>
          <w:rFonts w:ascii="Times New Roman" w:hAnsi="Times New Roman"/>
          <w:sz w:val="24"/>
        </w:rPr>
        <w:t xml:space="preserve">, </w:t>
      </w:r>
      <w:r>
        <w:rPr>
          <w:rFonts w:ascii="Times New Roman" w:hAnsi="Times New Roman"/>
          <w:b/>
          <w:sz w:val="24"/>
        </w:rPr>
        <w:t>Lábodi László dr.</w:t>
      </w:r>
      <w:r>
        <w:rPr>
          <w:rFonts w:ascii="Times New Roman" w:hAnsi="Times New Roman"/>
          <w:sz w:val="24"/>
          <w:vertAlign w:val="superscript"/>
        </w:rPr>
        <w:t>4</w:t>
      </w:r>
      <w:r>
        <w:rPr>
          <w:rFonts w:ascii="Times New Roman" w:hAnsi="Times New Roman"/>
          <w:sz w:val="24"/>
        </w:rPr>
        <w:t xml:space="preserve">, </w:t>
      </w:r>
      <w:r>
        <w:rPr>
          <w:rFonts w:ascii="Times New Roman" w:hAnsi="Times New Roman"/>
          <w:b/>
          <w:sz w:val="24"/>
        </w:rPr>
        <w:t>Marusin Ildikó dr.</w:t>
      </w:r>
      <w:r>
        <w:rPr>
          <w:rFonts w:ascii="Times New Roman" w:hAnsi="Times New Roman"/>
          <w:sz w:val="24"/>
          <w:vertAlign w:val="superscript"/>
        </w:rPr>
        <w:t>4</w:t>
      </w:r>
      <w:r>
        <w:rPr>
          <w:rFonts w:ascii="Times New Roman" w:hAnsi="Times New Roman"/>
          <w:sz w:val="24"/>
        </w:rPr>
        <w:t xml:space="preserve">, </w:t>
      </w:r>
      <w:r>
        <w:rPr>
          <w:rFonts w:ascii="Times New Roman" w:hAnsi="Times New Roman"/>
          <w:b/>
          <w:sz w:val="24"/>
        </w:rPr>
        <w:t>Szili Károly dr.</w:t>
      </w:r>
      <w:r>
        <w:rPr>
          <w:rFonts w:ascii="Times New Roman" w:hAnsi="Times New Roman"/>
          <w:sz w:val="24"/>
          <w:vertAlign w:val="superscript"/>
        </w:rPr>
        <w:t>1,2,3,4</w:t>
      </w:r>
      <w:r>
        <w:rPr>
          <w:rFonts w:ascii="Times New Roman" w:hAnsi="Times New Roman"/>
          <w:sz w:val="24"/>
        </w:rPr>
        <w:t xml:space="preserve">, </w:t>
      </w:r>
      <w:r>
        <w:rPr>
          <w:rFonts w:ascii="Times New Roman" w:hAnsi="Times New Roman"/>
          <w:b/>
          <w:sz w:val="24"/>
        </w:rPr>
        <w:t>Nagy Sándor dr.</w:t>
      </w:r>
      <w:r>
        <w:rPr>
          <w:rFonts w:ascii="Times New Roman" w:hAnsi="Times New Roman"/>
          <w:sz w:val="24"/>
          <w:vertAlign w:val="superscript"/>
        </w:rPr>
        <w:t>1,2</w:t>
      </w:r>
    </w:p>
    <w:p/>
    <w:p>
      <w:pPr>
        <w:spacing w:line="288" w:lineRule="auto" w:after="40"/>
        <w:jc w:val="center"/>
      </w:pPr>
      <w:r>
        <w:rPr>
          <w:rFonts w:ascii="Times New Roman" w:hAnsi="Times New Roman"/>
          <w:sz w:val="22"/>
          <w:vertAlign w:val="superscript"/>
        </w:rPr>
        <w:t>1</w:t>
      </w:r>
      <w:r>
        <w:rPr>
          <w:rFonts w:ascii="Times New Roman" w:hAnsi="Times New Roman"/>
          <w:sz w:val="22"/>
        </w:rPr>
        <w:t xml:space="preserve"> Széchenyi István Egyetem, Szülészeti és Nőgyógyászati Tanszék, Győr (tanszékvezető: Nagy Sándor dr., PhD)</w:t>
      </w:r>
    </w:p>
    <w:p>
      <w:pPr>
        <w:spacing w:line="288" w:lineRule="auto" w:after="40"/>
        <w:jc w:val="center"/>
      </w:pPr>
      <w:r>
        <w:rPr>
          <w:rFonts w:ascii="Times New Roman" w:hAnsi="Times New Roman"/>
          <w:sz w:val="22"/>
          <w:vertAlign w:val="superscript"/>
        </w:rPr>
        <w:t>2</w:t>
      </w:r>
      <w:r>
        <w:rPr>
          <w:rFonts w:ascii="Times New Roman" w:hAnsi="Times New Roman"/>
          <w:sz w:val="22"/>
        </w:rPr>
        <w:t xml:space="preserve"> Széchenyi István Egyetem, Regionális- és Gazdaságtudományi Doktori Iskola (RGDI), Győr (doktori iskola vezetője: Prof. Dr. habil. Vasa László)</w:t>
      </w:r>
    </w:p>
    <w:p>
      <w:pPr>
        <w:spacing w:line="288" w:lineRule="auto" w:after="40"/>
        <w:jc w:val="center"/>
      </w:pPr>
      <w:r>
        <w:rPr>
          <w:rFonts w:ascii="Times New Roman" w:hAnsi="Times New Roman"/>
          <w:sz w:val="22"/>
          <w:vertAlign w:val="superscript"/>
        </w:rPr>
        <w:t>3</w:t>
      </w:r>
      <w:r>
        <w:rPr>
          <w:rFonts w:ascii="Times New Roman" w:hAnsi="Times New Roman"/>
          <w:sz w:val="22"/>
        </w:rPr>
        <w:t xml:space="preserve"> Szegedi Tudományegyetem, Szent-Györgyi Albert Orvostudományi Kar, Szülészeti és Nőgyógyászati Klinika, Szeged (igazgató: Prof. Dr. habil. Várbíró Szabolcs)</w:t>
      </w:r>
    </w:p>
    <w:p>
      <w:pPr>
        <w:spacing w:line="288" w:lineRule="auto" w:after="40"/>
        <w:jc w:val="center"/>
      </w:pPr>
      <w:r>
        <w:rPr>
          <w:rFonts w:ascii="Times New Roman" w:hAnsi="Times New Roman"/>
          <w:sz w:val="22"/>
          <w:vertAlign w:val="superscript"/>
        </w:rPr>
        <w:t>4</w:t>
      </w:r>
      <w:r>
        <w:rPr>
          <w:rFonts w:ascii="Times New Roman" w:hAnsi="Times New Roman"/>
          <w:sz w:val="22"/>
        </w:rPr>
        <w:t xml:space="preserve"> S.O.S. 24 Kft. – 48. Családorvosi Rendelő, Szeged (vezető: Szili Károly dr., PhD)</w:t>
      </w:r>
    </w:p>
    <w:p/>
    <w:p>
      <w:pPr>
        <w:spacing w:line="288" w:lineRule="auto"/>
        <w:jc w:val="center"/>
      </w:pPr>
      <w:r>
        <w:rPr>
          <w:b/>
          <w:i w:val="0"/>
          <w:sz w:val="22"/>
        </w:rPr>
        <w:t>Levelező szerző:</w:t>
      </w:r>
      <w:r>
        <w:rPr>
          <w:b w:val="0"/>
          <w:i w:val="0"/>
          <w:sz w:val="22"/>
        </w:rPr>
        <w:t xml:space="preserve"> Szili Károly dr. · Széchenyi István Egyetem, 9026 Győr, Egyetem tér 1. · szilikaroly@gmail.com</w:t>
      </w:r>
    </w:p>
    <w:p/>
    <w:p>
      <w:pPr>
        <w:spacing w:line="288" w:lineRule="auto"/>
        <w:jc w:val="center"/>
      </w:pPr>
      <w:r>
        <w:rPr>
          <w:b w:val="0"/>
          <w:i/>
          <w:sz w:val="20"/>
        </w:rPr>
        <w:t>Beküldés előtt ellenőrizendő: a 2. affiliáció doktori iskolájának hivatalos megnevezése, valamint az Orvosi Hetilap érvényes szerzői útmutatójának terjedelmi és formai előírásai.</w:t>
      </w:r>
    </w:p>
    <w:p>
      <w:r>
        <w:br w:type="page"/>
      </w:r>
    </w:p>
    <w:p>
      <w:pPr>
        <w:spacing w:after="120"/>
      </w:pPr>
      <w:r>
        <w:rPr>
          <w:b/>
          <w:sz w:val="24"/>
        </w:rPr>
        <w:t>ÖSSZEFOGLALÓ</w:t>
      </w:r>
    </w:p>
    <w:p>
      <w:pPr>
        <w:spacing w:line="480" w:lineRule="auto"/>
      </w:pPr>
      <w:r>
        <w:rPr>
          <w:b w:val="0"/>
          <w:i w:val="0"/>
          <w:sz w:val="24"/>
        </w:rPr>
        <w:t>A fiatalkori elhízás Magyarországon nem lassuló, hanem rögzülő jelenség, és a hazai adatok szerint jelentős regionális szórást mutat. A tanulmány célja, hogy a 8–18 éves korosztályra fókuszálva összefoglalja a hazai helyzetképet, a betegség következményeit és a ma rendelkezésre álló terápiás lépcsőt, külön kiemelve a glukagonszerű peptid-1 (GLP-1) receptor agonisták helyét. A hazai felmérések szerint a 7 éves gyermekek súlystátusza az évtized során nem javult, a 6–8 évesek körében a túlsúly és az elhízás előfordulása régiónként számottevően eltér, és a magyar gyermekek tápanyagbevitele több ponton eltér az ajánlottól. A következmények már serdülőkorban mérhetők: hazai vizsgálatban 162 túlsúlyos vagy elhízott serdülő 27,8%-ában metabolikus szindróma, 38,3%-ában hyperuricaemia igazolódott, és a hypertonia előfordulása is emelkedett. A terápiás lépcső alapja változatlanul az életmód-intervenció és az iskola-egészségügyi rendszer, ezek önmagukban azonban korlátozott hatásúak. A gyógyszeres kezelésben a GLP-1-receptor-agonisták hoztak fordulatot: a 12–18 éves korosztályban a heti egyszeri szemaglutid 68 hét alatt 16,1%-os testtömegindex-csökkenést eredményezett a placebo 0,6%-os emelkedésével szemben, a liraglutid pedig mind a 12–18, mind a 6–12 éves sávban hatásosnak bizonyult. A kettős GIP/GLP-1 agonizmus és a hármas receptoraktiválás a felnőttkori eredmények alapján további előrelépést ígér, gyermekkori törzskönyvezés nélkül. A kezelés ugyanakkor krónikus: elhagyása után a testsúly nagy része visszatér. Külön tárgyaljuk a fejlődő szervezetet érintő megfontolásokat – a pubertás időzítését, a csont- és izomtömeget, a fogamzásgátlást és a gyógyszerkölcsönhatásokat –, valamint a hatás kétirányúságát. Zárásként egy életút-modell és egy társadalmi perspektívájú költségszámítás mutatja be, hogy a hazai árszinten a tartós kezelés hol térül meg. Orv Hetil. 2026; 167(x): xxx–xxx.</w:t>
      </w:r>
    </w:p>
    <w:p/>
    <w:p>
      <w:pPr>
        <w:spacing w:line="480" w:lineRule="auto"/>
      </w:pPr>
      <w:r>
        <w:rPr>
          <w:b/>
          <w:i w:val="0"/>
          <w:sz w:val="24"/>
        </w:rPr>
        <w:t>Kulcsszavak:</w:t>
      </w:r>
      <w:r>
        <w:rPr>
          <w:b w:val="0"/>
          <w:i w:val="0"/>
          <w:sz w:val="24"/>
        </w:rPr>
        <w:t xml:space="preserve"> fiatalkori elhízás, GLP-1-receptor-agonista, szemaglutid, terápiás lépcső, egészséggazdaságtan</w:t>
      </w:r>
    </w:p>
    <w:p>
      <w:r>
        <w:br w:type="page"/>
      </w:r>
    </w:p>
    <w:p>
      <w:pPr>
        <w:spacing w:after="120"/>
      </w:pPr>
      <w:r>
        <w:rPr>
          <w:b/>
          <w:sz w:val="24"/>
        </w:rPr>
        <w:t>SUMMARY</w:t>
      </w:r>
    </w:p>
    <w:p>
      <w:pPr>
        <w:spacing w:line="480" w:lineRule="auto"/>
      </w:pPr>
      <w:r>
        <w:rPr>
          <w:b w:val="0"/>
          <w:i w:val="0"/>
          <w:sz w:val="24"/>
        </w:rPr>
        <w:t>Juvenile obesity in Hungary is not slowing but consolidating, and national data show substantial regional variation. This review focuses on the 8–18 year age band and summarises the Hungarian situation, the consequences of the disease and the therapeutic ladder currently available, with particular attention to the place of glucagon-like peptide-1 (GLP-1) receptor agonists. Hungarian surveys show that the weight status of 7-year-old children did not improve over the decade, that the prevalence of overweight and obesity among 6- to 8-year-olds differs considerably between regions, and that the nutrient intake of Hungarian children departs from recommendations at several points. Consequences are already measurable in adolescence: in a Hungarian study of 162 overweight or obese adolescents, metabolic syndrome was present in 27.8% and hyperuricaemia in 38.3%, and the prevalence of hypertension was also elevated. The base of the therapeutic ladder remains lifestyle intervention and the school health care system, but these are of limited effect on their own. Pharmacological treatment has been transformed by GLP-1 receptor agonists: in the 12–18 year age band, once-weekly semaglutide reduced body-mass index by 16.1% over 68 weeks compared with a 0.6% increase on placebo, and liraglutide was effective in both the 12–18 and the 6–12 year bands. Dual GIP/GLP-1 agonism and triple receptor activation promise further gains on the basis of adult results, without paediatric licensing. Treatment is nevertheless chronic: most of the weight returns after discontinuation. We discuss separately the considerations affecting the developing organism — the timing of puberty, bone and lean mass, contraception and drug interactions — together with the bidirectional nature of the effect. The review closes with a life-course model and a societal-perspective cost calculation showing where sustained treatment pays for itself at Hungarian price levels. Orv Hetil. 2026; 167(x): xxx–xxx.</w:t>
      </w:r>
    </w:p>
    <w:p/>
    <w:p>
      <w:pPr>
        <w:spacing w:line="480" w:lineRule="auto"/>
      </w:pPr>
      <w:r>
        <w:rPr>
          <w:b/>
          <w:i w:val="0"/>
          <w:sz w:val="24"/>
        </w:rPr>
        <w:t>Keywords:</w:t>
      </w:r>
      <w:r>
        <w:rPr>
          <w:b w:val="0"/>
          <w:i w:val="0"/>
          <w:sz w:val="24"/>
        </w:rPr>
        <w:t xml:space="preserve"> juvenile obesity, GLP-1 receptor agonist, semaglutide, therapeutic ladder, health economics</w:t>
      </w:r>
    </w:p>
    <w:p>
      <w:r>
        <w:br w:type="page"/>
      </w:r>
    </w:p>
    <w:p>
      <w:pPr>
        <w:spacing w:after="120"/>
      </w:pPr>
      <w:r>
        <w:rPr>
          <w:b/>
          <w:sz w:val="26"/>
        </w:rPr>
        <w:t>BEVEZETÉS</w:t>
      </w:r>
    </w:p>
    <w:p>
      <w:pPr>
        <w:spacing w:line="480" w:lineRule="auto"/>
      </w:pPr>
      <w:r>
        <w:rPr>
          <w:b w:val="0"/>
          <w:i w:val="0"/>
          <w:sz w:val="24"/>
        </w:rPr>
        <w:t>A gyermek- és serdülőkori elhízás régóta ismert népegészségügyi teher, a klinikai gondolkodás azonban csak az utóbbi években rendeződött át körülötte. Az Amerikai Gyermekgyógyász Akadémia 2023-as ajánlása szakított a korábbi „figyelő várakozás” stratégiájával, és az azonnali, intenzív, szükség esetén gyógyszeres kezelést tette az alapelvvé [1]. A szemléletváltás mögött két megfontolás áll. Az egyik, hogy a serdülőkori elhízás nagy valószínűséggel átnyúlik a felnőttkorba: a gyermekkori obesitas melletti felnőttkori obesitas esélyhányadosa 5,21 (95% CI 4,50–6,02), ugyanakkor a gyermekkori testtömegindex (BMI) önmagában gyenge prediktora az egyéni felnőttkori megbetegedésnek, mert az obesitas-asszociált morbiditás nagyobb része normál testsúlyú gyermekekből származik [2]. A prevenció tehát populációs szinten erős, egyéni szinten árnyalt érvelést kíván. A másik, hogy a gyógyszeres eszköztár érdemben bővült: a GLP-1-receptor-agonisták 12 éves kor felett törzskönyvezett indikációt kaptak az elhízás kezelésére, és a hatásméret minden korábbi gyógyszeres lehetőséget meghalad.</w:t>
      </w:r>
    </w:p>
    <w:p>
      <w:pPr>
        <w:spacing w:line="480" w:lineRule="auto"/>
      </w:pPr>
      <w:r>
        <w:rPr>
          <w:b w:val="0"/>
          <w:i w:val="0"/>
          <w:sz w:val="24"/>
        </w:rPr>
        <w:t>Jelen áttekintés a 8–18 éves korosztályra fókuszál. Először a hazai helyzetképet foglalja össze, majd a következményeket, ezt követően a terápiás lépcsőt az életmód-intervenciótól a bariátriai sebészetig, külön kiemelve a GLP-1-receptor-agonisták helyét. Végül a fejlődő szervezetet érintő megfontolásokat, egy életút-modellt és a hazai árszinten számolt egészséggazdasági mérleget mutatja be.</w:t>
      </w:r>
    </w:p>
    <w:p>
      <w:pPr>
        <w:spacing w:line="480" w:lineRule="auto"/>
      </w:pPr>
      <w:r>
        <w:rPr>
          <w:b/>
          <w:i w:val="0"/>
          <w:sz w:val="24"/>
        </w:rPr>
        <w:t>Módszertan.</w:t>
      </w:r>
      <w:r>
        <w:rPr>
          <w:b w:val="0"/>
          <w:i w:val="0"/>
          <w:sz w:val="24"/>
        </w:rPr>
        <w:t xml:space="preserve"> A PubMed adatbázisban 2026 szeptemberéig kerestünk; a nemzetközi irodalomban a „GLP-1 receptor agonist”, „semaglutide”, „liraglutide”, „tirzepatide” kifejezéseknek az „adolescent”, „puberty”, „obesity” és „cost-effectiveness” kifejezésekkel alkotott kombinációira, a hazai irodalomban az Orvosi Hetilap és a magyar szerzők gyermekkori elhízással foglalkozó közleményeire. Elsődlegesen randomizált vizsgálatokat, metaanalíziseket és nemzetközi ajánlásokat fogadtunk be. A keresés </w:t>
      </w:r>
      <w:r>
        <w:rPr>
          <w:b/>
          <w:i w:val="0"/>
          <w:sz w:val="24"/>
        </w:rPr>
        <w:t>nem szisztematikus</w:t>
      </w:r>
      <w:r>
        <w:rPr>
          <w:b w:val="0"/>
          <w:i w:val="0"/>
          <w:sz w:val="24"/>
        </w:rPr>
        <w:t>: egy szerző végezte, szűrési folyamatábra nélkül, ezért az áttekintés narratív jellegű. Minden hivatkozás bibliográfiai adatát hat dimenzióban (DOI, első szerző, szerzőlista, folyóirat, kötet, oldalszám vagy cikkszám) Crossref és PubMed ellen ellenőriztük.</w:t>
      </w:r>
    </w:p>
    <w:p>
      <w:pPr>
        <w:spacing w:after="120"/>
      </w:pPr>
      <w:r>
        <w:rPr>
          <w:b/>
          <w:sz w:val="26"/>
        </w:rPr>
        <w:t>HAZAI HELYZETKÉP</w:t>
      </w:r>
    </w:p>
    <w:p>
      <w:pPr>
        <w:spacing w:line="480" w:lineRule="auto"/>
      </w:pPr>
      <w:r>
        <w:rPr>
          <w:b w:val="0"/>
          <w:i w:val="0"/>
          <w:sz w:val="24"/>
        </w:rPr>
        <w:t xml:space="preserve">A magyar adatok a WHO Európai Gyermekkori Elhízás Surveillance Kezdeményezése (COSI) keretében állnak rendelkezésre. A 7 éves gyermekek súlystátuszát 2010 és 2016 között követő elemzés szerint a helyzet nem javult, és az eredmény érzékenyen függ attól, melyik osztályozási rendszert alkalmazzuk – ugyanaz a populáció eltérő prevalenciaértéket ad a WHO, az IOTF és a hazai referenciák szerint [3]. A 6–8 éves korosztályban a túlsúly és az elhízás előfordulása </w:t>
      </w:r>
      <w:r>
        <w:rPr>
          <w:b/>
          <w:i w:val="0"/>
          <w:sz w:val="24"/>
        </w:rPr>
        <w:t>országon belül régiónként számottevően különbözik</w:t>
      </w:r>
      <w:r>
        <w:rPr>
          <w:b w:val="0"/>
          <w:i w:val="0"/>
          <w:sz w:val="24"/>
        </w:rPr>
        <w:t>, ami arra utal, hogy a probléma nem egyenletesen oszlik el, és a beavatkozásnak sem szabad egyenletesnek lennie [4]. Európai összehasonlításban a súlyos elhízás előfordulása 21 ország általános iskolásai között széles sávban mozog, és Magyarország nem a kedvező végén helyezkedik el [5].</w:t>
      </w:r>
    </w:p>
    <w:p>
      <w:pPr>
        <w:spacing w:line="480" w:lineRule="auto"/>
      </w:pPr>
      <w:r>
        <w:rPr>
          <w:b w:val="0"/>
          <w:i w:val="0"/>
          <w:sz w:val="24"/>
        </w:rPr>
        <w:t>A háttértényezők hazai felmérésekből is ismertek. A 4–10 éves magyar gyermekek tápanyagbevitele több ponton eltér az ajánlottól [6], a középiskolások fizikai aktivitása pedig a távoktatás időszakában mérhetően romlott, és a szubjektív egészségi állapottal is összefüggést mutatott [7]. A megelőzés intézményi kerete adott: az iskola-egészségügyi ellátórendszer alkalmas a korai felismerésre, egy hazai pilotvizsgálat tanulságai szerint azonban a rendszer kapacitása és eszköztára ma nem elegendő a beavatkozáshoz [8].</w:t>
      </w:r>
    </w:p>
    <w:p>
      <w:pPr>
        <w:spacing w:after="120"/>
      </w:pPr>
      <w:r>
        <w:rPr>
          <w:b/>
          <w:sz w:val="26"/>
        </w:rPr>
        <w:t>A FIATALKORI ELHÍZÁS KÖVETKEZMÉNYEI</w:t>
      </w:r>
    </w:p>
    <w:p>
      <w:pPr>
        <w:spacing w:line="480" w:lineRule="auto"/>
      </w:pPr>
      <w:r>
        <w:rPr>
          <w:b w:val="0"/>
          <w:i w:val="0"/>
          <w:sz w:val="24"/>
        </w:rPr>
        <w:t>A következmények nem a felnőttkorban jelentkeznek először, hanem már serdülőkorban mérhetők – és erre hazai adatunk is van.</w:t>
      </w:r>
    </w:p>
    <w:p>
      <w:pPr>
        <w:spacing w:line="480" w:lineRule="auto"/>
      </w:pPr>
      <w:r>
        <w:rPr>
          <w:b/>
          <w:i w:val="0"/>
          <w:sz w:val="24"/>
        </w:rPr>
        <w:t>Kardiometabolikus következmények.</w:t>
      </w:r>
      <w:r>
        <w:rPr>
          <w:b w:val="0"/>
          <w:i w:val="0"/>
          <w:sz w:val="24"/>
        </w:rPr>
        <w:t xml:space="preserve"> Magyar gyermekendokrinológiai rendelésen vizsgált 162 túlsúlyos vagy elhízott serdülő közül 45-ben (27,8%) igazolódott metabolikus szindróma és 62-ben (38,3%) hyperuricaemia; a metabolikus szindrómások kétharmadában a hyperuricaemia is fennállt, és a szerzők a húgysavszint meghatározását a rutin gyermekgyógyászati gyakorlat részévé javasolták tenni [9]. A hypertonia előfordulása túlsúlyos és elhízott magyar gyermekekben és serdülőkben szintén emelkedett [10]; az értékeléshez szükséges hazai normálértékek 14 062 egészséges, normális testtömegindexű magyar gyermek és serdülő mérése alapján rendelkezésre állnak [11]. Az inzulinrezisztencia gyermek- és serdülőkorban gyakori, és szorosan kapcsolódik a kardiovaszkuláris kockázat növekedéséhez; a hazai áttekintés ugyanakkor hangsúlyozza, hogy egységes definíció és megfelelő laboratóriumi marker híján a szűrés ebben az életkorban nem indokolt, a gyógyszeres beavatkozás pedig csak szelektált esetekben jön szóba [12].</w:t>
      </w:r>
    </w:p>
    <w:p>
      <w:pPr>
        <w:spacing w:line="480" w:lineRule="auto"/>
      </w:pPr>
      <w:r>
        <w:rPr>
          <w:b/>
          <w:i w:val="0"/>
          <w:sz w:val="24"/>
        </w:rPr>
        <w:t>Élettartam-kockázat.</w:t>
      </w:r>
      <w:r>
        <w:rPr>
          <w:b w:val="0"/>
          <w:i w:val="0"/>
          <w:sz w:val="24"/>
        </w:rPr>
        <w:t xml:space="preserve"> A serdülőkori beavatkozás igazi tétje az expozíciós idő. A Women's Health Initiative longitudinális elemzése szerint a felnőttkori túlsúly és elhízás *időtartama* önálló, dózisfüggő módon emeli a daganatkockázatot – nem csupán az számít, hogy valaki elhízott-e, hanem az is, hogy hány éven át [13]. Egy nagy kohorszvizsgálat azt mutatta, hogy a serdülőkortól középkorig tartó fizikai aktivitás és az endometriumcarcinoma közötti összefüggést jelentős részben a középkori BMI közvetíti [14]. Ha tehát egy 14 éves BMI-trajektóriája megtörik, az nem egy megbetegedést előz meg, hanem évtizednyi expozíciót rövidít le.</w:t>
      </w:r>
    </w:p>
    <w:p>
      <w:pPr>
        <w:spacing w:line="480" w:lineRule="auto"/>
      </w:pPr>
      <w:r>
        <w:rPr>
          <w:b/>
          <w:i w:val="0"/>
          <w:sz w:val="24"/>
        </w:rPr>
        <w:t>Reproduktív következmények.</w:t>
      </w:r>
      <w:r>
        <w:rPr>
          <w:b w:val="0"/>
          <w:i w:val="0"/>
          <w:sz w:val="24"/>
        </w:rPr>
        <w:t xml:space="preserve"> A leányoknál a metabolikus alapfolyamat a reproduktív tengelyen is megjelenik. A nehezebb testalkat a korábbi pubertás legerősebb ismert előrejelzője, és a gyermekkori BMI-visszapattanás korábbi időpontja korábbi thelarchéval és menarchéval jár [15]; az összefüggés kétirányú, mert mendeli randomizáció szerint a korábbi menarche önmagában is magasabb felnőttkori BMI-t okoz [16]. A 2023-as nemzetközi ajánlás a serdülőkori polycystás ovarium szindróma (PCOS) diagnózisát szándékosan szigorúbb feltételekhez köti, és a metabolikus komponens kezelését helyezi előtérbe [17]. Az anyai elhízás a gestatiós diabetes, a hypertensiv kórképek és a magzati szövődmények kockázatát emeli, és a beavatkozásnak a preconceptionalis időszakban kell megtörténnie [18]. Az endometriosis kapcsolata ellentmondásosabb: metaanalízis szerint minden 5 kg/m² BMI-emelkedés az endometriosis kockázatának csökkenésével jár (RR 0,67; 95% CI 0,53–0,84) [19], a fennálló obesitas ugyanakkor súlyosabb betegséglefolyással társul [20].</w:t>
      </w:r>
    </w:p>
    <w:p>
      <w:pPr>
        <w:spacing w:after="120"/>
      </w:pPr>
      <w:r>
        <w:rPr>
          <w:b/>
          <w:sz w:val="26"/>
        </w:rPr>
        <w:t>A TERÁPIÁS LÉPCSŐ</w:t>
      </w:r>
    </w:p>
    <w:p>
      <w:pPr>
        <w:spacing w:after="80"/>
      </w:pPr>
      <w:r>
        <w:rPr>
          <w:b/>
          <w:sz w:val="24"/>
        </w:rPr>
        <w:t>Életmód-intervenció és az iskola-egészségügy</w:t>
      </w:r>
    </w:p>
    <w:p>
      <w:pPr>
        <w:spacing w:line="480" w:lineRule="auto"/>
      </w:pPr>
      <w:r>
        <w:rPr>
          <w:b w:val="0"/>
          <w:i w:val="0"/>
          <w:sz w:val="24"/>
        </w:rPr>
        <w:t>A terápiás lépcső alapja változatlanul a strukturált életmód-intervenció: táplálkozási tanácsadás és napi 60 perc közepes vagy nagy intenzitású fizikai aktivitás. A randomizált vizsgálatokban ez a placebokar tartalma is, és önmagában szerény hatású – a szemaglutid-vizsgálat placebocsoportjában a BMI 0,6%-kal *emelkedett* az életmódterápia mellett [21]. Hazai viszonylatban az iskola-egészségügyi rendszer a legkézenfekvőbb belépési pont, kapacitása azonban korlátozott [8]. Ez nem az életmód-intervenció leértékelése: a gyógyszeres kezelés minden vizsgálatban az életmódterápia *kiegészítéseként*, nem helyette szerepelt.</w:t>
      </w:r>
    </w:p>
    <w:p>
      <w:pPr>
        <w:spacing w:after="80"/>
      </w:pPr>
      <w:r>
        <w:rPr>
          <w:b/>
          <w:sz w:val="24"/>
        </w:rPr>
        <w:t>Metformin és az inzulinrezisztencia kezelése</w:t>
      </w:r>
    </w:p>
    <w:p>
      <w:pPr>
        <w:spacing w:line="480" w:lineRule="auto"/>
      </w:pPr>
      <w:r>
        <w:rPr>
          <w:b w:val="0"/>
          <w:i w:val="0"/>
          <w:sz w:val="24"/>
        </w:rPr>
        <w:t>A metformin a hazai és a nemzetközi gyakorlatban egyaránt gyakran alkalmazott szer, bár a fiatalkori elhízásra nem törzskönyvezett indikáció. A 10–17 évesek 2-es típusú diabetesére vonatkozó hálózati metaanalízis szerint a metformin önmagában a kevésbé hatékony szerek közé tartozik, kombinációban viszont – így liraglutiddal – a leghatékonyabbak közé kerül [22]. Az inzulinrezisztenciáról szóló hazai áttekintés óvatosságra int: a gyógyszeres intervenció ebben az életkorban csak szelektált esetekben indokolt [12].</w:t>
      </w:r>
    </w:p>
    <w:p>
      <w:pPr>
        <w:spacing w:after="80"/>
      </w:pPr>
      <w:r>
        <w:rPr>
          <w:b/>
          <w:sz w:val="24"/>
        </w:rPr>
        <w:t>GLP-1-receptor-agonisták</w:t>
      </w:r>
    </w:p>
    <w:p>
      <w:pPr>
        <w:spacing w:line="480" w:lineRule="auto"/>
      </w:pPr>
      <w:r>
        <w:rPr>
          <w:b w:val="0"/>
          <w:i w:val="0"/>
          <w:sz w:val="24"/>
        </w:rPr>
        <w:t xml:space="preserve">A korosztályra vonatkozó randomizált bizonyítékokat az </w:t>
      </w:r>
      <w:r>
        <w:rPr>
          <w:b/>
          <w:i w:val="0"/>
          <w:sz w:val="24"/>
        </w:rPr>
        <w:t>1. táblázat</w:t>
      </w:r>
      <w:r>
        <w:rPr>
          <w:b w:val="0"/>
          <w:i w:val="0"/>
          <w:sz w:val="24"/>
        </w:rPr>
        <w:t xml:space="preserve"> foglalja össze.</w:t>
      </w:r>
    </w:p>
    <w:p>
      <w:pPr>
        <w:spacing w:line="480" w:lineRule="auto"/>
      </w:pPr>
      <w:r>
        <w:rPr>
          <w:b w:val="0"/>
          <w:i w:val="0"/>
          <w:sz w:val="24"/>
        </w:rPr>
        <w:t xml:space="preserve">A </w:t>
      </w:r>
      <w:r>
        <w:rPr>
          <w:b/>
          <w:i w:val="0"/>
          <w:sz w:val="24"/>
        </w:rPr>
        <w:t>szemaglutid</w:t>
      </w:r>
      <w:r>
        <w:rPr>
          <w:b w:val="0"/>
          <w:i w:val="0"/>
          <w:sz w:val="24"/>
        </w:rPr>
        <w:t xml:space="preserve"> STEP TEENS vizsgálatában 201, 12 és 18 év közötti obes serdülőt randomizáltak heti egyszeri 2,4 mg szemaglutidra vagy placebóra 68 hétre. A BMI átlagos változása −16,1% volt a szemaglutid- és +0,6% a placebocsoportban (becsült különbség −16,7 százalékpont; 95% CI −20,3 – −13,2). A résztvevők 73%-a ért el legalább 5%-os testsúlycsökkenést a placebocsoport 18%-ával szemben, és javult a derékkörfogat, a HbA1c, a lipidprofil és az ALT-érték is [21]. Post hoc elemzés szerint a kezeltek 44,9%-a került vissza a normál testsúly vagy a túlsúly kategóriájába a placebocsoport 12,1%-ával szemben, és legalább egy BMI-kategóriát 73,7%, illetve 19,0% javult – a hatás tehát kategóriaváltó [23].</w:t>
      </w:r>
    </w:p>
    <w:p>
      <w:pPr>
        <w:spacing w:line="480" w:lineRule="auto"/>
      </w:pPr>
      <w:r>
        <w:rPr>
          <w:b w:val="0"/>
          <w:i w:val="0"/>
          <w:sz w:val="24"/>
        </w:rPr>
        <w:t xml:space="preserve">A </w:t>
      </w:r>
      <w:r>
        <w:rPr>
          <w:b/>
          <w:i w:val="0"/>
          <w:sz w:val="24"/>
        </w:rPr>
        <w:t>liraglutid</w:t>
      </w:r>
      <w:r>
        <w:rPr>
          <w:b w:val="0"/>
          <w:i w:val="0"/>
          <w:sz w:val="24"/>
        </w:rPr>
        <w:t xml:space="preserve"> a 12–18 éves sávban 251 résztvevőn szignifikánsan nagyobb BMI-standard deviációs pontszám-csökkenést eredményezett, mint a placebo (becsült különbség −0,22; 95% CI −0,37 – −0,08); a 26 hetes utánkövetésben azonban az elért előny jelentős része elveszett a kezelés elhagyása után [24]. Az indikáció lefelé is kiterjedt: a 6 és 12 év közötti obes gyermekeken végzett III. fázisú vizsgálatban (n = 82) a BMI átlagos változása −5,8% volt liraglutiddal és +1,6% placebóval (becsült különbség −7,4 százalékpont; 95% CI −11,6 – −3,2) [25].</w:t>
      </w:r>
    </w:p>
    <w:p>
      <w:pPr>
        <w:spacing w:after="80"/>
      </w:pPr>
      <w:r>
        <w:rPr>
          <w:b/>
          <w:sz w:val="24"/>
        </w:rPr>
        <w:t>Kettős és hármas receptoragonizmus</w:t>
      </w:r>
    </w:p>
    <w:p>
      <w:pPr>
        <w:spacing w:line="480" w:lineRule="auto"/>
      </w:pPr>
      <w:r>
        <w:rPr>
          <w:b w:val="0"/>
          <w:i w:val="0"/>
          <w:sz w:val="24"/>
        </w:rPr>
        <w:t>A tirzepatid kettős GIP/GLP-1 agonista, 18 éves kor alatt nem törzskönyvezett. A „másik” inkretin, a glükózdependens inzulinotrop polipeptid terápiás újrafelfedezését és a kettős receptorstimuláció előnyeit hazai áttekintés is tárgyalja [26], ahogy a glükagonreceptor-agonizmussal kiegészített hármas receptoraktiválást is [27]. A SURMOUNT-programok post hoc elemzésében a 25 éves kor előtt diagnosztizált, korai kezdetű obesitasban szenvedők hosszabb betegségtartammal és magasabb kiindulási BMI-vel léptek a kezelésbe – vagyis éppen ez a csoport hordozza a legnagyobb halmozott kockázatot [28]. Az inkretin-alapú kezelések nem metabolikus indikációi felé nyíló érdeklődést jól mutatja, hogy az obstruktív alvási apnoe kezelésében is felmerült a szerepük [29].</w:t>
      </w:r>
    </w:p>
    <w:p>
      <w:pPr>
        <w:spacing w:after="80"/>
      </w:pPr>
      <w:r>
        <w:rPr>
          <w:b/>
          <w:sz w:val="24"/>
        </w:rPr>
        <w:t>Bariátriai sebészet</w:t>
      </w:r>
    </w:p>
    <w:p>
      <w:pPr>
        <w:spacing w:line="480" w:lineRule="auto"/>
      </w:pPr>
      <w:r>
        <w:rPr>
          <w:b w:val="0"/>
          <w:i w:val="0"/>
          <w:sz w:val="24"/>
        </w:rPr>
        <w:t>A sebészi kezelés a lépcső legfelső foka, súlyos elhízásban, szigorú indikációs feltételek mellett. A serdülőkori gyógyszeres fogyókúra formális költséghatékonysági elemzése a hüvelymetszéses gyomorreszekciót és a gyomor-bypasst is modellezte, és mindkettőt hatásosabbnak, de költségesebbnek találta a gyógyszeres kezelésnél [30]. Részletes tárgyalása meghaladja jelen áttekintés kereteit.</w:t>
      </w:r>
    </w:p>
    <w:p>
      <w:pPr>
        <w:spacing w:after="120"/>
      </w:pPr>
      <w:r>
        <w:rPr>
          <w:b/>
          <w:sz w:val="26"/>
        </w:rPr>
        <w:t>AZ INKRETINTENGELY ÉS A FEJLŐDŐ SZERVEZET</w:t>
      </w:r>
    </w:p>
    <w:p>
      <w:pPr>
        <w:spacing w:line="480" w:lineRule="auto"/>
      </w:pPr>
      <w:r>
        <w:rPr>
          <w:b w:val="0"/>
          <w:i w:val="0"/>
          <w:sz w:val="24"/>
        </w:rPr>
        <w:t>A táplálékfelvételre a vékonybél L-sejtjei GLP-1-et, a K-sejtek GIP-et választanak el; mindkettő glükózfüggő módon fokozza az inzulinszekréciót, a natív GLP-1 azonban a dipeptidil-peptidáz-4 hatására percek alatt lebomlik. A terápiás analógok ezt aminosav-cserével, zsírsav-konjugációval, illetve albumin- vagy Fc-fúzióval kerülik meg: a felezési idő a natív peptid mintegy két percéről a liraglutid esetében órás, a szemaglutid és a tirzepatid esetében közel egyhetes nagyságrendbe nő [31]. A fejlődő szervezet szempontjából nem az inzulinotrop hatás a döntő, hanem négy mellékútvonal és egy ötödik, ellentétes irányú mechanizmus (</w:t>
      </w:r>
      <w:r>
        <w:rPr>
          <w:b/>
          <w:i w:val="0"/>
          <w:sz w:val="24"/>
        </w:rPr>
        <w:t>1. ábra</w:t>
      </w:r>
      <w:r>
        <w:rPr>
          <w:b w:val="0"/>
          <w:i w:val="0"/>
          <w:sz w:val="24"/>
        </w:rPr>
        <w:t xml:space="preserve">, </w:t>
      </w:r>
      <w:r>
        <w:rPr>
          <w:b/>
          <w:i w:val="0"/>
          <w:sz w:val="24"/>
        </w:rPr>
        <w:t>4. ábra</w:t>
      </w:r>
      <w:r>
        <w:rPr>
          <w:b w:val="0"/>
          <w:i w:val="0"/>
          <w:sz w:val="24"/>
        </w:rPr>
        <w:t>).</w:t>
      </w:r>
    </w:p>
    <w:p>
      <w:pPr>
        <w:spacing w:line="480" w:lineRule="auto"/>
      </w:pPr>
      <w:r>
        <w:rPr>
          <w:b/>
          <w:i w:val="0"/>
          <w:sz w:val="24"/>
        </w:rPr>
        <w:t>A hepatikus-metabolikus út.</w:t>
      </w:r>
      <w:r>
        <w:rPr>
          <w:b w:val="0"/>
          <w:i w:val="0"/>
          <w:sz w:val="24"/>
        </w:rPr>
        <w:t xml:space="preserve"> A szteroidhormon-mintázat átrendeződésének kulcsmolekulája a májban termelődő szexuálhormon-kötő globulin (SHBG). Termelése nem közvetlenül az inzulinszinttől függ, hanem a hepatocyta lipogenezisétől: a monoszacharid-terhelés a de novo lipogenezist fokozva csökkenti a hepatikus HNF-4α mennyiségét, amely az SHBG-promoter kritikus transzkripciós faktora [32]. Az emelkedő SHBG a szabad tesztoszteronfrakciót csökkenti akkor is, ha az összes tesztoszteron alig változik.</w:t>
      </w:r>
    </w:p>
    <w:p>
      <w:pPr>
        <w:spacing w:line="480" w:lineRule="auto"/>
      </w:pPr>
      <w:r>
        <w:rPr>
          <w:b/>
          <w:i w:val="0"/>
          <w:sz w:val="24"/>
        </w:rPr>
        <w:t>A zsírszövet–leptin–kisspeptin út.</w:t>
      </w:r>
      <w:r>
        <w:rPr>
          <w:b w:val="0"/>
          <w:i w:val="0"/>
          <w:sz w:val="24"/>
        </w:rPr>
        <w:t xml:space="preserve"> A testzsírtömeg és a nemi érés időzítése közötti kapcsolat a leptinen keresztül valósul meg, amely engedélyező jelként hat a nucleus arcuatus kisspeptint termelő neuronjaira – ezek a GnRH-neuronok legfontosabb feljebb álló szabályozói [33]. A jelátvitel részben a POMC-neuronok α-MSH-jelzésén át, melanokortinreceptorokon keresztül éri el a Kiss1-neuronokat [34]. </w:t>
      </w:r>
      <w:r>
        <w:rPr>
          <w:b/>
          <w:i w:val="0"/>
          <w:sz w:val="24"/>
        </w:rPr>
        <w:t>Ebből következik a mechanizmus legfontosabb tanulsága: a kezelés melletti pubertásváltozás elsődlegesen zsírtömeg- és leptinmediált, tehát nem tulajdonítható eleve közvetlen gyógyszerhatásnak.</w:t>
      </w:r>
    </w:p>
    <w:p>
      <w:pPr>
        <w:spacing w:line="480" w:lineRule="auto"/>
      </w:pPr>
      <w:r>
        <w:rPr>
          <w:b/>
          <w:i w:val="0"/>
          <w:sz w:val="24"/>
        </w:rPr>
        <w:t>A közvetlen gonadális út – hipotézis.</w:t>
      </w:r>
      <w:r>
        <w:rPr>
          <w:b w:val="0"/>
          <w:i w:val="0"/>
          <w:sz w:val="24"/>
        </w:rPr>
        <w:t xml:space="preserve"> Nőstény patkányban a GLP-1 és az exendin-4 modulálta a gonadális tengelyt: proöstrusban adva megkétszerezte a preovulációs LH-csúcs amplitúdóját, növelte az érett tüszők számát, és szinkronizálta a pubertás megindulását [35]. A humán, juvenilis gonadális tengelyen azonban a GLP-1 receptor jelenléte nem igazolt, ezért ezt az útvonalat hipotézisként kezeljük.</w:t>
      </w:r>
    </w:p>
    <w:p>
      <w:pPr>
        <w:spacing w:line="480" w:lineRule="auto"/>
      </w:pPr>
      <w:r>
        <w:rPr>
          <w:b/>
          <w:i w:val="0"/>
          <w:sz w:val="24"/>
        </w:rPr>
        <w:t>A gyulladásos út.</w:t>
      </w:r>
      <w:r>
        <w:rPr>
          <w:b w:val="0"/>
          <w:i w:val="0"/>
          <w:sz w:val="24"/>
        </w:rPr>
        <w:t xml:space="preserve"> A szemaglutid gyulladáscsökkentő hatását 13 randomizált vizsgálat, 26 131 résztvevő adatain alapuló metaanalízis igazolta: a CRP-index a placebóhoz képest szignifikánsan alacsonyabb volt (SMD −0,56; 95% CI −0,69 – −0,43) [36]. A CRP azonban downstream marker, nem mechanizmus; a mozgásszervi kivetülést a térdarthrosisban mért fájdalomcsökkenés mutatja (WOMAC átlagos különbség −0,90; 95% CI −1,48 – −0,32) [37].</w:t>
      </w:r>
    </w:p>
    <w:p>
      <w:pPr>
        <w:spacing w:line="480" w:lineRule="auto"/>
      </w:pPr>
      <w:r>
        <w:rPr>
          <w:b/>
          <w:i w:val="0"/>
          <w:sz w:val="24"/>
        </w:rPr>
        <w:t>Az ellentétes irányú mechanizmus.</w:t>
      </w:r>
      <w:r>
        <w:rPr>
          <w:b w:val="0"/>
          <w:i w:val="0"/>
          <w:sz w:val="24"/>
        </w:rPr>
        <w:t xml:space="preserve"> Ugyanaz a leptin–kisspeptin lánc, amely a zsírtömeg csökkenésével kedvezően rendezi át a hyperandrogen fenotípust, tartósan alacsony energiabevitel mellett a GnRH-pulzusgenerátor gátlásához vezet: ez a funkcionális hypothalamicus amenorrhoea mechanizmusa, amelynek klasszikus kiváltói között a testsúlyvesztés kiemelt helyen szerepel [38]. A kezelés tehát a reproduktív tengelyre nézve </w:t>
      </w:r>
      <w:r>
        <w:rPr>
          <w:b/>
          <w:i w:val="0"/>
          <w:sz w:val="24"/>
        </w:rPr>
        <w:t>kétirányú</w:t>
      </w:r>
      <w:r>
        <w:rPr>
          <w:b w:val="0"/>
          <w:i w:val="0"/>
          <w:sz w:val="24"/>
        </w:rPr>
        <w:t>, és ezt egyetlen vizsgálat sem mérte.</w:t>
      </w:r>
    </w:p>
    <w:p>
      <w:pPr>
        <w:spacing w:line="480" w:lineRule="auto"/>
      </w:pPr>
      <w:r>
        <w:rPr>
          <w:b/>
          <w:i w:val="0"/>
          <w:sz w:val="24"/>
        </w:rPr>
        <w:t>Egy figyelmen kívül hagyott útvonal.</w:t>
      </w:r>
      <w:r>
        <w:rPr>
          <w:b w:val="0"/>
          <w:i w:val="0"/>
          <w:sz w:val="24"/>
        </w:rPr>
        <w:t xml:space="preserve"> A lassuló gyomorürülés és a bélmikrobiom változása az ösztrogének enterohepatikus recirkulációját is érinti: a mikrobiális β-glükuronidáz-aktivitás (az „estrobolóma”) dekonjugálja és reaktiválja a bélbe ürült ösztrogéneket [39]. Hogy az inkretin-kezelés ezt merre mozdítja, nem vizsgált kérdés.</w:t>
      </w:r>
    </w:p>
    <w:p>
      <w:pPr>
        <w:spacing w:after="120"/>
      </w:pPr>
      <w:r>
        <w:rPr>
          <w:b/>
          <w:sz w:val="26"/>
        </w:rPr>
        <w:t>A REPRODUKTÍV TENGELY: MIT TUDUNK ÉS MIT NEM</w:t>
      </w:r>
    </w:p>
    <w:p>
      <w:pPr>
        <w:spacing w:line="480" w:lineRule="auto"/>
      </w:pPr>
      <w:r>
        <w:rPr>
          <w:b w:val="0"/>
          <w:i w:val="0"/>
          <w:sz w:val="24"/>
        </w:rPr>
        <w:t>A szteroidhormonokra gyakorolt hatás klinikai bizonyítéka döntően felnőtt PCOS-populációból származik. Metaanalízis szerint az inkretin-alapú kezelés a metforminnál kedvezőbben befolyásolja a testsúlyt és az inzulinrezisztenciát, és javítja a menstruációs mutatókat [40]; randomizált vizsgálatokban a hetente adott exenatid kedvezően alakította a testösszetételt és a nemi hormonok mintázatát [41], illetve hatékonyan kezelte a PCOS-hoz társuló praediabetest [42]. Az SGLT2-gátlókat is értékelő hálózati metaanalízis megerősíti az előnyt, de a vizsgálatok rövid időtartamára figyelmeztet [43]. A serdülőkori ciklusszabályozás nem hormonális eszköztárában a bizonyíték ugyanakkor gyér [44].</w:t>
      </w:r>
    </w:p>
    <w:p>
      <w:pPr>
        <w:spacing w:line="480" w:lineRule="auto"/>
      </w:pPr>
      <w:r>
        <w:rPr>
          <w:b w:val="0"/>
          <w:i w:val="0"/>
          <w:sz w:val="24"/>
        </w:rPr>
        <w:t>Külön figyelmet érdemel a mérés módja. Női, különösen serdülőkori koncentrációtartományban a direkt tesztoszteron-immunoassay pontatlan; referenciamódszer a folyadékkromatográfiával kapcsolt tandem tömegspektrometria, a szabad frakciót pedig összes tesztoszteronból és SHBG-ből számítva kell megadni. Ennek elmulasztása az ellenkező irányba téveszt: túlsúlyos, hyperandrogen betegben az alacsony SHBG a mért összes tesztoszteront a normáltartományba húzhatja, és így elfedheti az androgéntúlsúlyt [45].</w:t>
      </w:r>
    </w:p>
    <w:p>
      <w:pPr>
        <w:spacing w:line="480" w:lineRule="auto"/>
      </w:pPr>
      <w:r>
        <w:rPr>
          <w:b w:val="0"/>
          <w:i w:val="0"/>
          <w:sz w:val="24"/>
        </w:rPr>
        <w:t>A ciklusrendeződés kettős természetű. A menstruációs frekvencia javulása a legkézzelfoghatóbb sikerélmény, klinikailag azonban egyszerre kedvező és kockázatos: az anovulációs ciklusok arányának csökkenése védi az endometriumot, a helyreálló ovuláció viszont megemeli a nem tervezett terhesség kockázatát. A pleiotrop, reproduktív alkalmazásokat összefoglaló friss áttekintés is hangsúlyozza, hogy a perikoncepcionális biztonságosság kérdése nyitott [46].</w:t>
      </w:r>
    </w:p>
    <w:p>
      <w:pPr>
        <w:spacing w:after="120"/>
      </w:pPr>
      <w:r>
        <w:rPr>
          <w:b/>
          <w:sz w:val="26"/>
        </w:rPr>
        <w:t>GYAKORLATI MEGFONTOLÁSOK</w:t>
      </w:r>
    </w:p>
    <w:p>
      <w:pPr>
        <w:spacing w:line="480" w:lineRule="auto"/>
      </w:pPr>
      <w:r>
        <w:rPr>
          <w:b/>
          <w:i w:val="0"/>
          <w:sz w:val="24"/>
        </w:rPr>
        <w:t>Indikáció és gondozási keret.</w:t>
      </w:r>
      <w:r>
        <w:rPr>
          <w:b w:val="0"/>
          <w:i w:val="0"/>
          <w:sz w:val="24"/>
        </w:rPr>
        <w:t xml:space="preserve"> A kezelés 12 éves kor felett, a 95. percentilist elérő vagy meghaladó BMI mellett, strukturált életmódterápia kiegészítéseként indokolt [1]. A serdülőkori adherenciát az injekciós forma, a mellékhatások és a testképpel kapcsolatos ambivalencia egyaránt rontja, ezért a kezelés csak multidiszciplináris keretben indokolt. A követendő mérési minimumot a </w:t>
      </w:r>
      <w:r>
        <w:rPr>
          <w:b/>
          <w:i w:val="0"/>
          <w:sz w:val="24"/>
        </w:rPr>
        <w:t>4. táblázat</w:t>
      </w:r>
      <w:r>
        <w:rPr>
          <w:b w:val="0"/>
          <w:i w:val="0"/>
          <w:sz w:val="24"/>
        </w:rPr>
        <w:t xml:space="preserve"> foglalja össze.</w:t>
      </w:r>
    </w:p>
    <w:p>
      <w:pPr>
        <w:spacing w:line="480" w:lineRule="auto"/>
      </w:pPr>
      <w:r>
        <w:rPr>
          <w:b/>
          <w:i w:val="0"/>
          <w:sz w:val="24"/>
        </w:rPr>
        <w:t>Biztonságosság.</w:t>
      </w:r>
      <w:r>
        <w:rPr>
          <w:b w:val="0"/>
          <w:i w:val="0"/>
          <w:sz w:val="24"/>
        </w:rPr>
        <w:t xml:space="preserve"> A gastrointestinalis panaszok gyakoriak és a placebónál lényegesen gyakoribbak voltak (STEP TEENS 62% vs. 42%; SCALE Kids 80% vs. 54%) [21, 25]. Az epekövesség kockázata a gyors súlycsökkenéssel emelkedik, és a STEP TEENS-ben öt résztvevőnél (4%) klinikailag megjelent [21]. A pancreatitis osztályszintű, ritka, de súlyos szövődmény. Külön kiemelendő a pszichiátriai monitorozás igénye: a SCALE Teens vizsgálatban a liraglutid-karon egy befejezett öngyilkosság történt, amelyet a vizsgáló a kezeléssel valószínűleg nem összefüggőnek ítélt [24]. A pajzsmirigy C-sejtes daganat családi halmozódása és a MEN2 kontraindikációt jelent.</w:t>
      </w:r>
    </w:p>
    <w:p>
      <w:pPr>
        <w:spacing w:line="480" w:lineRule="auto"/>
      </w:pPr>
      <w:r>
        <w:rPr>
          <w:b/>
          <w:i w:val="0"/>
          <w:sz w:val="24"/>
        </w:rPr>
        <w:t>Evészavar.</w:t>
      </w:r>
      <w:r>
        <w:rPr>
          <w:b w:val="0"/>
          <w:i w:val="0"/>
          <w:sz w:val="24"/>
        </w:rPr>
        <w:t xml:space="preserve"> Az obes serdülők körében a rendezetlen táplálkozási magatartás gyakoribb, a gyógyszeres vizsgálatokban azonban a szűrés adatai feltűnően hiányosak [47]. Hazai felmérés szerint a fiatal nők testértékelése szorosan összefügg az evészavar-tünetekkel és pszichológiai változókkal, ami a szűrés hazai relevanciáját is alátámasztja [48].</w:t>
      </w:r>
    </w:p>
    <w:p>
      <w:pPr>
        <w:spacing w:line="480" w:lineRule="auto"/>
      </w:pPr>
      <w:r>
        <w:rPr>
          <w:b/>
          <w:i w:val="0"/>
          <w:sz w:val="24"/>
        </w:rPr>
        <w:t>Fogamzásgátlás, gyógyszerkölcsönhatás és washout.</w:t>
      </w:r>
      <w:r>
        <w:rPr>
          <w:b w:val="0"/>
          <w:i w:val="0"/>
          <w:sz w:val="24"/>
        </w:rPr>
        <w:t xml:space="preserve"> A szexuálisan aktív serdülőnél a kezelés megkezdése előtt hatékony fogamzásgátlásról kell gondoskodni. A módszer megválasztásakor a lassult gyomorürülés hatását hatóanyagonként kell mérlegelni: a GLP-1-receptor-agonisták az orális fogamzásgátlók biohasznosulását nem befolyásolták érdemben, a tirzepatid mellett viszont az orális fogamzásgátló görbe alatti területe és csúcskoncentrációja is szignifikánsan változott, ezért itt nem orális módszer vagy kiegészítő védelem indokolt [49, 31]. Tervezett terhesség előtt a készítményt a felezési idejének megfelelő idővel korábban kell elhagyni: a liraglutid esetében ez néhány nap, a szemaglutid és a tirzepatid esetében a gyakorlatilag teljes kiürüléshez legalább öt hét szükséges, és az alkalmazási előírás ennél is óvatosabb [31].</w:t>
      </w:r>
    </w:p>
    <w:p>
      <w:pPr>
        <w:spacing w:line="480" w:lineRule="auto"/>
      </w:pPr>
      <w:r>
        <w:rPr>
          <w:b/>
          <w:i w:val="0"/>
          <w:sz w:val="24"/>
        </w:rPr>
        <w:t>A kezelés abbahagyása.</w:t>
      </w:r>
      <w:r>
        <w:rPr>
          <w:b w:val="0"/>
          <w:i w:val="0"/>
          <w:sz w:val="24"/>
        </w:rPr>
        <w:t xml:space="preserve"> A STEP 1 kiterjesztésében a kezelés elhagyása után egy éven belül a leadott testsúly mintegy kétharmada visszatért, és a kardiometabolikus előny nagyrészt megszűnt [50]. Ez a betegtájékoztatás része: nem kúráról, hanem krónikus kezelésről van szó.</w:t>
      </w:r>
    </w:p>
    <w:p>
      <w:pPr>
        <w:spacing w:after="120"/>
      </w:pPr>
      <w:r>
        <w:rPr>
          <w:b/>
          <w:sz w:val="26"/>
        </w:rPr>
        <w:t>AZ ÉLETÚT-MODELL</w:t>
      </w:r>
    </w:p>
    <w:p>
      <w:pPr>
        <w:spacing w:line="480" w:lineRule="auto"/>
      </w:pPr>
      <w:r>
        <w:rPr>
          <w:b w:val="0"/>
          <w:i w:val="0"/>
          <w:sz w:val="24"/>
        </w:rPr>
        <w:t xml:space="preserve">A </w:t>
      </w:r>
      <w:r>
        <w:rPr>
          <w:b/>
          <w:i w:val="0"/>
          <w:sz w:val="24"/>
        </w:rPr>
        <w:t>2. ábra</w:t>
      </w:r>
      <w:r>
        <w:rPr>
          <w:b w:val="0"/>
          <w:i w:val="0"/>
          <w:sz w:val="24"/>
        </w:rPr>
        <w:t xml:space="preserve"> három pályát követ a praepubertastól az időskorig. Az </w:t>
      </w:r>
      <w:r>
        <w:rPr>
          <w:b/>
          <w:i w:val="0"/>
          <w:sz w:val="24"/>
        </w:rPr>
        <w:t>A pálya</w:t>
      </w:r>
      <w:r>
        <w:rPr>
          <w:b w:val="0"/>
          <w:i w:val="0"/>
          <w:sz w:val="24"/>
        </w:rPr>
        <w:t xml:space="preserve"> (normál testalkat) a referenciaút. A </w:t>
      </w:r>
      <w:r>
        <w:rPr>
          <w:b/>
          <w:i w:val="0"/>
          <w:sz w:val="24"/>
        </w:rPr>
        <w:t>B pályán</w:t>
      </w:r>
      <w:r>
        <w:rPr>
          <w:b w:val="0"/>
          <w:i w:val="0"/>
          <w:sz w:val="24"/>
        </w:rPr>
        <w:t xml:space="preserve"> a korai adrenarche és menarche után oligomenorrhoea és hyperandrogenismus jelenik meg, a reproduktív korban anovulációs infertilitás alakul ki, majd gestatiós diabetes, hypertensiv kórképek, később daganatos és mozgásszervi terhek halmozódnak. A </w:t>
      </w:r>
      <w:r>
        <w:rPr>
          <w:b/>
          <w:i w:val="0"/>
          <w:sz w:val="24"/>
        </w:rPr>
        <w:t>C pálya</w:t>
      </w:r>
      <w:r>
        <w:rPr>
          <w:b w:val="0"/>
          <w:i w:val="0"/>
          <w:sz w:val="24"/>
        </w:rPr>
        <w:t xml:space="preserve"> azt mutatja, amelyben a serdülőkorban megkezdett és tartósan fenntartott kezelés megtöri a trajektóriát.</w:t>
      </w:r>
    </w:p>
    <w:p>
      <w:pPr>
        <w:spacing w:line="480" w:lineRule="auto"/>
      </w:pPr>
      <w:r>
        <w:rPr>
          <w:b w:val="0"/>
          <w:i w:val="0"/>
          <w:sz w:val="24"/>
        </w:rPr>
        <w:t>A pályák közötti különbség végpontonként eltérő erősségű bizonyítékon nyugszik, és ezt nem szabad összemosni. A 2-es típusú diabetes, a hypertonia és a gestatiós diabetes esetében a metabolikus közvetítő út mérésekkel alátámasztott [51, 18]; a PCOS-fenotípus és az infertilitás esetében felnőttkori randomizált adatok extrapolációjáról van szó [40, 43]; a daganatos kimenetnél az expozíciós idő rövidüléséről [13, 14]; a mozgásszervi tehernél részben gyulladásos, részben mechanikai eredetről [37].</w:t>
      </w:r>
    </w:p>
    <w:p>
      <w:pPr>
        <w:spacing w:line="480" w:lineRule="auto"/>
      </w:pPr>
      <w:r>
        <w:rPr>
          <w:b w:val="0"/>
          <w:i w:val="0"/>
          <w:sz w:val="24"/>
        </w:rPr>
        <w:t>Ide tartozik az is, hogy a kockázatcsökkenés nem kizárólag a fogyás következménye: a SELECT vizsgálatban a szemaglutid 20%-kal csökkentette a major kardiovaszkuláris események kockázatát [52], miközben az elért testsúlycsökkenés négy év alatt átlagosan 10,2% volt [53] – ez a diszkrepancia részben testsúlyfüggetlen hatásra utal. A vizsgálat populációja azonban 45 év feletti, kardiovaszkuláris betegségben szenvedő felnőtt, így a fiatalkori átültetés feltételezés.</w:t>
      </w:r>
    </w:p>
    <w:p>
      <w:pPr>
        <w:spacing w:after="120"/>
      </w:pPr>
      <w:r>
        <w:rPr>
          <w:b/>
          <w:sz w:val="26"/>
        </w:rPr>
        <w:t>EGÉSZSÉGGAZDASÁGI SÚLY</w:t>
      </w:r>
    </w:p>
    <w:p>
      <w:pPr>
        <w:spacing w:line="480" w:lineRule="auto"/>
      </w:pPr>
      <w:r>
        <w:rPr>
          <w:b w:val="0"/>
          <w:i w:val="0"/>
          <w:sz w:val="24"/>
        </w:rPr>
        <w:t>A gyermekkori túlsúly és elhízás évi 237,55 USD/fő többlet-egészségügyi kiadást okoz [54]. Társadalmi perspektívájú modellünkben (</w:t>
      </w:r>
      <w:r>
        <w:rPr>
          <w:b/>
          <w:i w:val="0"/>
          <w:sz w:val="24"/>
        </w:rPr>
        <w:t>2–3. táblázat</w:t>
      </w:r>
      <w:r>
        <w:rPr>
          <w:b w:val="0"/>
          <w:i w:val="0"/>
          <w:sz w:val="24"/>
        </w:rPr>
        <w:t xml:space="preserve">, </w:t>
      </w:r>
      <w:r>
        <w:rPr>
          <w:b/>
          <w:i w:val="0"/>
          <w:sz w:val="24"/>
        </w:rPr>
        <w:t>3. ábra</w:t>
      </w:r>
      <w:r>
        <w:rPr>
          <w:b w:val="0"/>
          <w:i w:val="0"/>
          <w:sz w:val="24"/>
        </w:rPr>
        <w:t xml:space="preserve">) 1000 obes leány 14–65 év közötti követése során a tartós kezelés mintegy 580 megbetegedést hárít el. A mérleg a gyógyszerártól függ: 5 000 Ft/hó mellett fejenként mintegy 5,9 millió, 20 000 Ft/hó mellett 1,0 millió forint társadalmi megtakarítás keletkezik, 35 000 Ft/hó mellett viszont már 3,8 millió forint többletköltség. A megtérülés küszöbára havi 23 000 forint körül van; ha csak a közvetlen ellátási kiadást számoljuk, a küszöb 17 000 forintra esik – vagyis </w:t>
      </w:r>
      <w:r>
        <w:rPr>
          <w:b/>
          <w:i w:val="0"/>
          <w:sz w:val="24"/>
        </w:rPr>
        <w:t>a munkahelyi távollétek és a reprodukciós veszteség beszámítása önmagában mintegy 6 000 forint/hó árkülönbséget ér</w:t>
      </w:r>
      <w:r>
        <w:rPr>
          <w:b w:val="0"/>
          <w:i w:val="0"/>
          <w:sz w:val="24"/>
        </w:rPr>
        <w:t>. A megtakarítás valószínűsége 15 000 Ft/hó mellett 94%, 20 000 Ft/hó mellett 70%, 30 000 Ft/hó mellett 14%. Mindez egybecseng a serdülőkori szemaglutid amerikai listaáron számolt, 1 079 480 USD/QALY inkrementális költséghatékonysági hányadosával [30]: a fiatalkori inkretin-kezelés ma elsősorban árkérdés.</w:t>
      </w:r>
    </w:p>
    <w:p>
      <w:pPr>
        <w:spacing w:after="120"/>
      </w:pPr>
      <w:r>
        <w:rPr>
          <w:b/>
          <w:sz w:val="26"/>
        </w:rPr>
        <w:t>KORLÁTOK ÉS NYITOTT KÉRDÉSEK</w:t>
      </w:r>
    </w:p>
    <w:p>
      <w:pPr>
        <w:spacing w:line="480" w:lineRule="auto"/>
      </w:pPr>
      <w:r>
        <w:rPr>
          <w:b w:val="0"/>
          <w:i w:val="0"/>
          <w:sz w:val="24"/>
        </w:rPr>
        <w:t>Áttekintésünk legfontosabb korlátja, hogy a reproduktív végpontokra vonatkozó bizonyíték szinte kizárólag felnőtt populációból származik, és ennek fiatalkori átültetése feltételezés, nem adat. A leghosszabb randomizált követés 68 hét. A keresés nem szisztematikus, egy szerző végezte, ezért szelekciós torzítás nem zárható ki.</w:t>
      </w:r>
    </w:p>
    <w:p>
      <w:pPr>
        <w:spacing w:line="480" w:lineRule="auto"/>
      </w:pPr>
      <w:r>
        <w:rPr>
          <w:b w:val="0"/>
          <w:i w:val="0"/>
          <w:sz w:val="24"/>
        </w:rPr>
        <w:t xml:space="preserve">A hiányok azonban jól körülhatárolhatók, és mindegyikhez megnevezhető az a vizsgálat, amely feloldaná. </w:t>
      </w:r>
      <w:r>
        <w:rPr>
          <w:b/>
          <w:i w:val="0"/>
          <w:sz w:val="24"/>
        </w:rPr>
        <w:t>Nincs olyan vizsgálat, amely a pubertásfejlődés időzítését – Tanner-stádium, csontkor, végleges testmagasság – elsődleges végpontként kezelné</w:t>
      </w:r>
      <w:r>
        <w:rPr>
          <w:b w:val="0"/>
          <w:i w:val="0"/>
          <w:sz w:val="24"/>
        </w:rPr>
        <w:t xml:space="preserve">, és egyik sem mérte a fentebb tárgyalt ötödik, ellentétes irányú mechanizmust. </w:t>
      </w:r>
      <w:r>
        <w:rPr>
          <w:b/>
          <w:i w:val="0"/>
          <w:sz w:val="24"/>
        </w:rPr>
        <w:t>Nincs randomizált adat a serdülőkori PCOS-ra mint indikációra</w:t>
      </w:r>
      <w:r>
        <w:rPr>
          <w:b w:val="0"/>
          <w:i w:val="0"/>
          <w:sz w:val="24"/>
        </w:rPr>
        <w:t xml:space="preserve">, és ismeretlen a csúcscsonttömegre gyakorolt hatás. </w:t>
      </w:r>
      <w:r>
        <w:rPr>
          <w:b/>
          <w:i w:val="0"/>
          <w:sz w:val="24"/>
        </w:rPr>
        <w:t>Nem tisztázott a kezelés optimális időtartama és a leszoktatási stratégia.</w:t>
      </w:r>
      <w:r>
        <w:rPr>
          <w:b w:val="0"/>
          <w:i w:val="0"/>
          <w:sz w:val="24"/>
        </w:rPr>
        <w:t xml:space="preserve"> Végül </w:t>
      </w:r>
      <w:r>
        <w:rPr>
          <w:b/>
          <w:i w:val="0"/>
          <w:sz w:val="24"/>
        </w:rPr>
        <w:t>hiányzik a terhességi regiszterekből származó perikoncepcionális biztonságossági adat</w:t>
      </w:r>
      <w:r>
        <w:rPr>
          <w:b w:val="0"/>
          <w:i w:val="0"/>
          <w:sz w:val="24"/>
        </w:rPr>
        <w:t>. Hazai vonatkozásban külön hiány, hogy a fiatalkori elhízás gyógyszeres kezelésének magyar gyakorlatáról nincs publikált regiszter- vagy kohorszadat.</w:t>
      </w:r>
    </w:p>
    <w:p>
      <w:pPr>
        <w:spacing w:line="480" w:lineRule="auto"/>
      </w:pPr>
      <w:r>
        <w:rPr>
          <w:b w:val="0"/>
          <w:i w:val="0"/>
          <w:sz w:val="24"/>
        </w:rPr>
        <w:t>Az életút-modell és a gazdasági számítás szemléltető jellegű: a paraméterek irodalmi nagyságrendekre támaszkodó feltételezések, nem mért incidencia- és nem mért költségértékek. Az egyirányú és a valószínűségi érzékenységi elemzés a paraméterek bizonytalanságát mutatja, a modell szerkezeti bizonytalanságát azonban nem, és QALY-alapú értékelést sem tartalmaz. A modell magyar validálásához hazai ellátási költség- és távollét-adatokra volna szükség, amelyek publikált formában nem álltak rendelkezésünkre.</w:t>
      </w:r>
    </w:p>
    <w:p>
      <w:pPr>
        <w:spacing w:after="120"/>
      </w:pPr>
      <w:r>
        <w:rPr>
          <w:b/>
          <w:sz w:val="26"/>
        </w:rPr>
        <w:t>KÖVETKEZTETÉSEK</w:t>
      </w:r>
    </w:p>
    <w:p>
      <w:pPr>
        <w:spacing w:line="480" w:lineRule="auto"/>
      </w:pPr>
      <w:r>
        <w:rPr>
          <w:b w:val="0"/>
          <w:i w:val="0"/>
          <w:sz w:val="24"/>
        </w:rPr>
        <w:t>A fiatalkori elhízás Magyarországon rögzült, regionálisan egyenetlen jelenség, amelynek következményei már serdülőkorban mérhetők – a hazai adatok szerint a túlsúlyos és elhízott serdülők több mint negyedében metabolikus szindróma áll fenn. A terápiás lépcső alapja változatlanul az életmód-intervenció és az iskola-egészségügy, ezek azonban önmagukban nem elegendők. A GLP-1-receptor-agonisták az első olyan gyógyszeres lehetőséget jelentik, amely a testsúly-trajektóriát érdemben megtöri, és ezen keresztül a kardiometabolikus és a reproduktív kockázatra is hat. A hatás azonban túlnyomórészt zsírtömeg- és leptinmediált, kétirányú, és a kezelés krónikus: elhagyása után a testsúly nagy része visszatér. A 8–14 éves korosztályban a pubertásfejlődés strukturált követése a kezelés kötelező eleme. Hazai árszinten a tartós kezelés havi 23 000 forint körüli gyógyszerár alatt társadalmi megtakarítást eredményez – a fiatalkori inkretin-kezelés tehát klinikailag megalapozott, finanszírozási szempontból viszont ma elsősorban árkérdés.</w:t>
      </w:r>
    </w:p>
    <w:p>
      <w:r>
        <w:br w:type="page"/>
      </w:r>
    </w:p>
    <w:p>
      <w:pPr>
        <w:spacing w:after="80"/>
      </w:pPr>
      <w:r>
        <w:rPr>
          <w:b/>
          <w:sz w:val="24"/>
        </w:rPr>
        <w:t>ANYAGI TÁMOGATÁS ÉS ÉRDEKELTSÉGEK</w:t>
      </w:r>
    </w:p>
    <w:p>
      <w:pPr>
        <w:spacing w:line="480" w:lineRule="auto"/>
      </w:pPr>
      <w:r>
        <w:rPr>
          <w:b w:val="0"/>
          <w:i w:val="0"/>
          <w:sz w:val="24"/>
        </w:rPr>
        <w:t>A közlemény megírása anyagi támogatásban nem részesült. A szerzőknek nincsenek érdekeltségeik.</w:t>
      </w:r>
    </w:p>
    <w:p>
      <w:pPr>
        <w:spacing w:after="80"/>
      </w:pPr>
      <w:r>
        <w:rPr>
          <w:b/>
          <w:sz w:val="24"/>
        </w:rPr>
        <w:t>SZERZŐI MUNKAMEGOSZTÁS</w:t>
      </w:r>
    </w:p>
    <w:p>
      <w:pPr>
        <w:spacing w:line="480" w:lineRule="auto"/>
      </w:pPr>
      <w:r>
        <w:rPr>
          <w:b w:val="0"/>
          <w:i/>
          <w:sz w:val="24"/>
        </w:rPr>
        <w:t>*(a szerzők töltik ki)*</w:t>
      </w:r>
    </w:p>
    <w:p>
      <w:r>
        <w:br w:type="page"/>
      </w:r>
    </w:p>
    <w:p>
      <w:pPr>
        <w:spacing w:after="120"/>
      </w:pPr>
      <w:r>
        <w:rPr>
          <w:b/>
          <w:sz w:val="24"/>
        </w:rPr>
        <w:t>IRODALOM</w:t>
      </w:r>
    </w:p>
    <w:p>
      <w:pPr>
        <w:spacing w:line="360" w:lineRule="auto" w:after="80"/>
      </w:pPr>
      <w:r>
        <w:rPr>
          <w:b w:val="0"/>
          <w:i w:val="0"/>
          <w:sz w:val="22"/>
        </w:rPr>
        <w:t>[1] Hampl SE, Hassink SG, Skinner AC, et al. Executive Summary: Clinical Practice Guideline for the Evaluation and Treatment of Children and Adolescents With Obesity. Pediatrics 2023;151(2):e2022060641.</w:t>
      </w:r>
    </w:p>
    <w:p>
      <w:pPr>
        <w:spacing w:line="360" w:lineRule="auto" w:after="80"/>
      </w:pPr>
      <w:r>
        <w:rPr>
          <w:b w:val="0"/>
          <w:i w:val="0"/>
          <w:sz w:val="22"/>
        </w:rPr>
        <w:t>[2] Simmonds M, Burch J, Llewellyn A, et al. The use of measures of obesity in childhood for predicting obesity and the development of obesity-related diseases in adulthood: a systematic review and meta-analysis. Health Technol Assess 2015;19(43):1–336.</w:t>
      </w:r>
    </w:p>
    <w:p>
      <w:pPr>
        <w:spacing w:line="360" w:lineRule="auto" w:after="80"/>
      </w:pPr>
      <w:r>
        <w:rPr>
          <w:b w:val="0"/>
          <w:i w:val="0"/>
          <w:sz w:val="22"/>
        </w:rPr>
        <w:t>[3] Kovacs VA, Bakacs M, Kaposvari C, et al. Weight Status of 7-Year-Old Hungarian Children between 2010 and 2016 Using Different Classifications (COSI Hungary). Obes Facts 2018;11(3):195–205.</w:t>
      </w:r>
    </w:p>
    <w:p>
      <w:pPr>
        <w:spacing w:line="360" w:lineRule="auto" w:after="80"/>
      </w:pPr>
      <w:r>
        <w:rPr>
          <w:b w:val="0"/>
          <w:i w:val="0"/>
          <w:sz w:val="22"/>
        </w:rPr>
        <w:t>[4] Erdei G, Bakacs M, Illés É, et al. Substantial variation across geographic regions in the obesity prevalence among 6-8 years old Hungarian children (COSI Hungary 2016). BMC Public Health 2018;18(1):611.</w:t>
      </w:r>
    </w:p>
    <w:p>
      <w:pPr>
        <w:spacing w:line="360" w:lineRule="auto" w:after="80"/>
      </w:pPr>
      <w:r>
        <w:rPr>
          <w:b w:val="0"/>
          <w:i w:val="0"/>
          <w:sz w:val="22"/>
        </w:rPr>
        <w:t>[5] Spinelli A, Buoncristiano M, Kovacs VA, et al. Prevalence of Severe Obesity among Primary School Children in 21 European Countries. Obes Facts 2019;12(2):244–258.</w:t>
      </w:r>
    </w:p>
    <w:p>
      <w:pPr>
        <w:spacing w:line="360" w:lineRule="auto" w:after="80"/>
      </w:pPr>
      <w:r>
        <w:rPr>
          <w:b w:val="0"/>
          <w:i w:val="0"/>
          <w:sz w:val="22"/>
        </w:rPr>
        <w:t>[6] Sárga D, Biró L, Kiss-Tóth B, et al. 4–10 éves magyar gyermekek tápanyagbevitele és tápláltsági állapota. Orv Hetil 2023;164(14):533–540.</w:t>
      </w:r>
    </w:p>
    <w:p>
      <w:pPr>
        <w:spacing w:line="360" w:lineRule="auto" w:after="80"/>
      </w:pPr>
      <w:r>
        <w:rPr>
          <w:b w:val="0"/>
          <w:i w:val="0"/>
          <w:sz w:val="22"/>
        </w:rPr>
        <w:t>[7] Katona ZB, Takács J, Gyömörei T, et al. Magyar középiskolás tanulók fizikai aktivitásának és szubjektív egészségi állapotának vizsgálata a távoktatás időszakában. Orv Hetil 2022;163(17):655–662.</w:t>
      </w:r>
    </w:p>
    <w:p>
      <w:pPr>
        <w:spacing w:line="360" w:lineRule="auto" w:after="80"/>
      </w:pPr>
      <w:r>
        <w:rPr>
          <w:b w:val="0"/>
          <w:i w:val="0"/>
          <w:sz w:val="22"/>
        </w:rPr>
        <w:t>[8] Matkovics L, Czeglédi E. Az iskola-egészségügyi ellátórendszer szerepe a gyermekkori elhízás megelőzésében – egy pilotvizsgálat tanulságai. Orv Hetil 2022;163(38):1499–1505.</w:t>
      </w:r>
    </w:p>
    <w:p>
      <w:pPr>
        <w:spacing w:line="360" w:lineRule="auto" w:after="80"/>
      </w:pPr>
      <w:r>
        <w:rPr>
          <w:b w:val="0"/>
          <w:i w:val="0"/>
          <w:sz w:val="22"/>
        </w:rPr>
        <w:t>[9] Ságodi L, Fehér V, Kiss-Tóth E, et al. Az elhízás metabolikus szövődményei serdülőkorban, különös tekintettel az emelkedett húgysavszintre. Orv Hetil 2015;156(22):888–895.</w:t>
      </w:r>
    </w:p>
    <w:p>
      <w:pPr>
        <w:spacing w:line="360" w:lineRule="auto" w:after="80"/>
      </w:pPr>
      <w:r>
        <w:rPr>
          <w:b w:val="0"/>
          <w:i w:val="0"/>
          <w:sz w:val="22"/>
        </w:rPr>
        <w:t>[10] Jakab AE, Hidvégi EV, Illyés M, et al. A hypertonia prevalenciája túlsúlyos és elhízott magyar gyermekekben és serdülőkben. Orv Hetil 2020;161(4):151–160.</w:t>
      </w:r>
    </w:p>
    <w:p>
      <w:pPr>
        <w:spacing w:line="360" w:lineRule="auto" w:after="80"/>
      </w:pPr>
      <w:r>
        <w:rPr>
          <w:b w:val="0"/>
          <w:i w:val="0"/>
          <w:sz w:val="22"/>
        </w:rPr>
        <w:t>[11] Hidvégi EV, Jakab A, Cziráki A, et al. 14 062 normális testtömegindexű egészséges magyar gyermek és serdülő perifériás (brachialis) vérnyomásának normálértékei. Orv Hetil 2024;165(28):1086–1100.</w:t>
      </w:r>
    </w:p>
    <w:p>
      <w:pPr>
        <w:spacing w:line="360" w:lineRule="auto" w:after="80"/>
      </w:pPr>
      <w:r>
        <w:rPr>
          <w:b w:val="0"/>
          <w:i w:val="0"/>
          <w:sz w:val="22"/>
        </w:rPr>
        <w:t>[12] Tobisch B, Blatniczky L, Schusterova I, et al. Az inzulinrezisztencia és hatásai gyermek- és serdülőkorban. Orv Hetil 2021;162(11):403–412.</w:t>
      </w:r>
    </w:p>
    <w:p>
      <w:pPr>
        <w:spacing w:line="360" w:lineRule="auto" w:after="80"/>
      </w:pPr>
      <w:r>
        <w:rPr>
          <w:b w:val="0"/>
          <w:i w:val="0"/>
          <w:sz w:val="22"/>
        </w:rPr>
        <w:t>[13] Arnold M, Jiang L, Stefanick ML, et al. Duration of Adulthood Overweight, Obesity, and Cancer Risk in the Women's Health Initiative: A Longitudinal Study from the United States. PLoS Med 2016;13(8):e1002081.</w:t>
      </w:r>
    </w:p>
    <w:p>
      <w:pPr>
        <w:spacing w:line="360" w:lineRule="auto" w:after="80"/>
      </w:pPr>
      <w:r>
        <w:rPr>
          <w:b w:val="0"/>
          <w:i w:val="0"/>
          <w:sz w:val="22"/>
        </w:rPr>
        <w:t>[14] Saint-Maurice PF, Sampson JN, Michels KA, et al. Physical Activity From Adolescence Through Midlife and Associations With Body Mass Index and Endometrial Cancer Risk. JNCI Cancer Spectr 2021;5(4):pkab065.</w:t>
      </w:r>
    </w:p>
    <w:p>
      <w:pPr>
        <w:spacing w:line="360" w:lineRule="auto" w:after="80"/>
      </w:pPr>
      <w:r>
        <w:rPr>
          <w:b w:val="0"/>
          <w:i w:val="0"/>
          <w:sz w:val="22"/>
        </w:rPr>
        <w:t>[15] Houghton LC, Wei Y, Wang T, et al. Body mass index rebound and pubertal timing in girls with and without a family history of breast cancer: the LEGACY girls study. Int J Epidemiol 2022;51(5):1546–55.</w:t>
      </w:r>
    </w:p>
    <w:p>
      <w:pPr>
        <w:spacing w:line="360" w:lineRule="auto" w:after="80"/>
      </w:pPr>
      <w:r>
        <w:rPr>
          <w:b w:val="0"/>
          <w:i w:val="0"/>
          <w:sz w:val="22"/>
        </w:rPr>
        <w:t>[16] Gill D, Brewer CF, Del Greco M F, et al. Age at menarche and adult body mass index: a Mendelian randomization study. Int J Obes (Lond) 2018;42(9):1574–81.</w:t>
      </w:r>
    </w:p>
    <w:p>
      <w:pPr>
        <w:spacing w:line="360" w:lineRule="auto" w:after="80"/>
      </w:pPr>
      <w:r>
        <w:rPr>
          <w:b w:val="0"/>
          <w:i w:val="0"/>
          <w:sz w:val="22"/>
        </w:rPr>
        <w:t>[17] Teede HJ, Tay CT, Laven JJE, et al. Recommendations from the 2023 international evidence-based guideline for the assessment and management of polycystic ovary syndrome. Eur J Endocrinol 2023;189(2):G43–G64.</w:t>
      </w:r>
    </w:p>
    <w:p>
      <w:pPr>
        <w:spacing w:line="360" w:lineRule="auto" w:after="80"/>
      </w:pPr>
      <w:r>
        <w:rPr>
          <w:b w:val="0"/>
          <w:i w:val="0"/>
          <w:sz w:val="22"/>
        </w:rPr>
        <w:t>[18] Begum KS, Sachchithanantham K, De Somsubhra S. Maternal obesity and pregnancy outcome. Clin Exp Obstet Gynecol 2011;38(1):14–20.</w:t>
      </w:r>
    </w:p>
    <w:p>
      <w:pPr>
        <w:spacing w:line="360" w:lineRule="auto" w:after="80"/>
      </w:pPr>
      <w:r>
        <w:rPr>
          <w:b w:val="0"/>
          <w:i w:val="0"/>
          <w:sz w:val="22"/>
        </w:rPr>
        <w:t>[19] Liu Y, Zhang W. Association between body mass index and endometriosis risk: a meta-analysis. Oncotarget 2017;8(29):46928–36.</w:t>
      </w:r>
    </w:p>
    <w:p>
      <w:pPr>
        <w:spacing w:line="360" w:lineRule="auto" w:after="80"/>
      </w:pPr>
      <w:r>
        <w:rPr>
          <w:b w:val="0"/>
          <w:i w:val="0"/>
          <w:sz w:val="22"/>
        </w:rPr>
        <w:t>[20] Barrea L, Verde L, Annunziata G, et al. Effectiveness of Medical Nutrition Therapy in the Management of Patients with Obesity and Endometriosis. Curr Obes Rep 2025;14(1):68.</w:t>
      </w:r>
    </w:p>
    <w:p>
      <w:pPr>
        <w:spacing w:line="360" w:lineRule="auto" w:after="80"/>
      </w:pPr>
      <w:r>
        <w:rPr>
          <w:b w:val="0"/>
          <w:i w:val="0"/>
          <w:sz w:val="22"/>
        </w:rPr>
        <w:t>[21] Weghuber D, Barrett T, Barrientos-Pérez M, et al. Once-Weekly Semaglutide in Adolescents with Obesity. N Engl J Med 2022;387(24):2245–57.</w:t>
      </w:r>
    </w:p>
    <w:p>
      <w:pPr>
        <w:spacing w:line="360" w:lineRule="auto" w:after="80"/>
      </w:pPr>
      <w:r>
        <w:rPr>
          <w:b w:val="0"/>
          <w:i w:val="0"/>
          <w:sz w:val="22"/>
        </w:rPr>
        <w:t>[22] Wu S, He Y, Wu Y, et al. Comparative efficacy and safety of glucose-lowering drugs in children and adolescents with type 2 diabetes: A systematic review and network meta-analysis. Front Endocrinol (Lausanne) 2022;13:897776.</w:t>
      </w:r>
    </w:p>
    <w:p>
      <w:pPr>
        <w:spacing w:line="360" w:lineRule="auto" w:after="80"/>
      </w:pPr>
      <w:r>
        <w:rPr>
          <w:b w:val="0"/>
          <w:i w:val="0"/>
          <w:sz w:val="22"/>
        </w:rPr>
        <w:t>[23] Kelly AS, Arslanian S, Hesse D, et al. Reducing BMI below the obesity threshold in adolescents treated with once-weekly subcutaneous semaglutide 2.4 mg. Obesity (Silver Spring) 2023;31(8):2139–49.</w:t>
      </w:r>
    </w:p>
    <w:p>
      <w:pPr>
        <w:spacing w:line="360" w:lineRule="auto" w:after="80"/>
      </w:pPr>
      <w:r>
        <w:rPr>
          <w:b w:val="0"/>
          <w:i w:val="0"/>
          <w:sz w:val="22"/>
        </w:rPr>
        <w:t>[24] Kelly AS, Auerbach P, Barrientos-Perez M, et al. A Randomized, Controlled Trial of Liraglutide for Adolescents with Obesity. N Engl J Med 2020;382(22):2117–28.</w:t>
      </w:r>
    </w:p>
    <w:p>
      <w:pPr>
        <w:spacing w:line="360" w:lineRule="auto" w:after="80"/>
      </w:pPr>
      <w:r>
        <w:rPr>
          <w:b w:val="0"/>
          <w:i w:val="0"/>
          <w:sz w:val="22"/>
        </w:rPr>
        <w:t>[25] Fox CK, Barrientos-Pérez M, Bomberg EM, et al. Liraglutide for Children 6 to &lt;12 Years of Age with Obesity – A Randomized Trial. N Engl J Med 2025;392(6):555–65.</w:t>
      </w:r>
    </w:p>
    <w:p>
      <w:pPr>
        <w:spacing w:line="360" w:lineRule="auto" w:after="80"/>
      </w:pPr>
      <w:r>
        <w:rPr>
          <w:b w:val="0"/>
          <w:i w:val="0"/>
          <w:sz w:val="22"/>
        </w:rPr>
        <w:t>[26] Winkler G, Kis JT, Schandl L. A „másik” inkretin – a glükózdependens inzulinotrop polipeptid terápiás újrafelfedezése. Orv Hetil 2023;164(6):210–218.</w:t>
      </w:r>
    </w:p>
    <w:p>
      <w:pPr>
        <w:spacing w:line="360" w:lineRule="auto" w:after="80"/>
      </w:pPr>
      <w:r>
        <w:rPr>
          <w:b w:val="0"/>
          <w:i w:val="0"/>
          <w:sz w:val="22"/>
        </w:rPr>
        <w:t>[27] Winkler G, Kis JT, Arapovicsné Kiss K, et al. A GLP1-receptor-agonistáktól a glükagonreceptor-agonizmussal kiegészített hármas hormonreceptor-aktiválásig. Orv Hetil 2023;164(42):1656–1664.</w:t>
      </w:r>
    </w:p>
    <w:p>
      <w:pPr>
        <w:spacing w:line="360" w:lineRule="auto" w:after="80"/>
      </w:pPr>
      <w:r>
        <w:rPr>
          <w:b w:val="0"/>
          <w:i w:val="0"/>
          <w:sz w:val="22"/>
        </w:rPr>
        <w:t>[28] Gourgari E, Srivastava G, Kelly AS, et al. Early-Onset Obesity and Tirzepatide Treatment: A Post Hoc Analysis of the SURMOUNT Clinical Trials. Obesity (Silver Spring) 2025;33(9):1668–79.</w:t>
      </w:r>
    </w:p>
    <w:p>
      <w:pPr>
        <w:spacing w:line="360" w:lineRule="auto" w:after="80"/>
      </w:pPr>
      <w:r>
        <w:rPr>
          <w:b w:val="0"/>
          <w:i w:val="0"/>
          <w:sz w:val="22"/>
        </w:rPr>
        <w:t>[29] Horváth G, Berner SC, Bardóczi AB, et al. Az elhízás és a testsúlycsökkentés szerepe az obstruktív alvási apnoéban. Orv Hetil 2026;167(26):1011–1017.</w:t>
      </w:r>
    </w:p>
    <w:p>
      <w:pPr>
        <w:spacing w:line="360" w:lineRule="auto" w:after="80"/>
      </w:pPr>
      <w:r>
        <w:rPr>
          <w:b w:val="0"/>
          <w:i w:val="0"/>
          <w:sz w:val="22"/>
        </w:rPr>
        <w:t>[30] Mital S, Nguyen HV. Cost-Effectiveness of Antiobesity Drugs for Adolescents With Severe Obesity. JAMA Netw Open 2023;6(10):e2336400.</w:t>
      </w:r>
    </w:p>
    <w:p>
      <w:pPr>
        <w:spacing w:line="360" w:lineRule="auto" w:after="80"/>
      </w:pPr>
      <w:r>
        <w:rPr>
          <w:b w:val="0"/>
          <w:i w:val="0"/>
          <w:sz w:val="22"/>
        </w:rPr>
        <w:t>[31] Min JS, Jo SJ, Lee S, et al. A Comprehensive Review on the Pharmacokinetics and Drug-Drug Interactions of Approved GLP-1 Receptor Agonists and a Dual GLP-1/GIP Receptor Agonist. Drug Des Devel Ther 2025;19:3509–37.</w:t>
      </w:r>
    </w:p>
    <w:p>
      <w:pPr>
        <w:spacing w:line="360" w:lineRule="auto" w:after="80"/>
      </w:pPr>
      <w:r>
        <w:rPr>
          <w:b w:val="0"/>
          <w:i w:val="0"/>
          <w:sz w:val="22"/>
        </w:rPr>
        <w:t>[32] Pugeat M, Nader N, Hogeveen K, et al. Sex hormone-binding globulin gene expression in the liver: drugs and the metabolic syndrome. Mol Cell Endocrinol 2010;316(1):53–9.</w:t>
      </w:r>
    </w:p>
    <w:p>
      <w:pPr>
        <w:spacing w:line="360" w:lineRule="auto" w:after="80"/>
      </w:pPr>
      <w:r>
        <w:rPr>
          <w:b w:val="0"/>
          <w:i w:val="0"/>
          <w:sz w:val="22"/>
        </w:rPr>
        <w:t>[33] Sanchez-Garrido MA, Tena-Sempere M. Metabolic control of puberty: roles of leptin and kisspeptins. Horm Behav 2013;64(2):187–94.</w:t>
      </w:r>
    </w:p>
    <w:p>
      <w:pPr>
        <w:spacing w:line="360" w:lineRule="auto" w:after="80"/>
      </w:pPr>
      <w:r>
        <w:rPr>
          <w:b w:val="0"/>
          <w:i w:val="0"/>
          <w:sz w:val="22"/>
        </w:rPr>
        <w:t>[34] Manfredi-Lozano M, Roa J, Ruiz-Pino F, et al. Defining a novel leptin-melanocortin-kisspeptin pathway involved in the metabolic control of puberty. Mol Metab 2016;5(10):844–57.</w:t>
      </w:r>
    </w:p>
    <w:p>
      <w:pPr>
        <w:spacing w:line="360" w:lineRule="auto" w:after="80"/>
      </w:pPr>
      <w:r>
        <w:rPr>
          <w:b w:val="0"/>
          <w:i w:val="0"/>
          <w:sz w:val="22"/>
        </w:rPr>
        <w:t>[35] Outeiriño-Iglesias V, Romaní-Pérez M, González-Matías LC, et al. GLP-1 Increases Preovulatory LH Source and the Number of Mature Follicles, As Well As Synchronizing the Onset of Puberty in Female Rats. Endocrinology 2015;156(11):4226–37.</w:t>
      </w:r>
    </w:p>
    <w:p>
      <w:pPr>
        <w:spacing w:line="360" w:lineRule="auto" w:after="80"/>
      </w:pPr>
      <w:r>
        <w:rPr>
          <w:b w:val="0"/>
          <w:i w:val="0"/>
          <w:sz w:val="22"/>
        </w:rPr>
        <w:t>[36] Masson W, Lobo M, Nogueira JP, et al. Anti-inflammatory effect of semaglutide: updated systematic review and meta-analysis. Front Cardiovasc Med 2024;11:1379189.</w:t>
      </w:r>
    </w:p>
    <w:p>
      <w:pPr>
        <w:spacing w:line="360" w:lineRule="auto" w:after="80"/>
      </w:pPr>
      <w:r>
        <w:rPr>
          <w:b w:val="0"/>
          <w:i w:val="0"/>
          <w:sz w:val="22"/>
        </w:rPr>
        <w:t>[37] Jiang G, Yang X, Zhu G, et al. Comparative efficacy and safety of antidiabetic drugs for obese patients with knee osteoarthritis: a network meta-analysis of randomized controlled trials. Aging Clin Exp Res 2025;37(1):142.</w:t>
      </w:r>
    </w:p>
    <w:p>
      <w:pPr>
        <w:spacing w:line="360" w:lineRule="auto" w:after="80"/>
      </w:pPr>
      <w:r>
        <w:rPr>
          <w:b w:val="0"/>
          <w:i w:val="0"/>
          <w:sz w:val="22"/>
        </w:rPr>
        <w:t>[38] Gordon CM, Ackerman KE, Berga SL, et al. Functional Hypothalamic Amenorrhea: An Endocrine Society Clinical Practice Guideline. J Clin Endocrinol Metab 2017;102(5):1413–39.</w:t>
      </w:r>
    </w:p>
    <w:p>
      <w:pPr>
        <w:spacing w:line="360" w:lineRule="auto" w:after="80"/>
      </w:pPr>
      <w:r>
        <w:rPr>
          <w:b w:val="0"/>
          <w:i w:val="0"/>
          <w:sz w:val="22"/>
        </w:rPr>
        <w:t>[39] Kumari N, Kumari R, Dua A, et al. From Gut to Hormones: Unraveling the Role of Gut Microbiota in (Phyto)Estrogen Modulation in Health and Disease. Mol Nutr Food Res 2024;68(6):e2300688.</w:t>
      </w:r>
    </w:p>
    <w:p>
      <w:pPr>
        <w:spacing w:line="360" w:lineRule="auto" w:after="80"/>
      </w:pPr>
      <w:r>
        <w:rPr>
          <w:b w:val="0"/>
          <w:i w:val="0"/>
          <w:sz w:val="22"/>
        </w:rPr>
        <w:t>[40] Han Y, Li Y, He B. GLP-1 receptor agonists versus metformin in PCOS: a systematic review and meta-analysis. Reprod Biomed Online 2019;39(2):332–42.</w:t>
      </w:r>
    </w:p>
    <w:p>
      <w:pPr>
        <w:spacing w:line="360" w:lineRule="auto" w:after="80"/>
      </w:pPr>
      <w:r>
        <w:rPr>
          <w:b w:val="0"/>
          <w:i w:val="0"/>
          <w:sz w:val="22"/>
        </w:rPr>
        <w:t>[41] Elkind-Hirsch KE, Chappell N, Seidemann E, et al. Exenatide, Dapagliflozin, or Phentermine/Topiramate Differentially Affect Metabolic Profiles in Polycystic Ovary Syndrome. J Clin Endocrinol Metab 2021;106(10):3019–33.</w:t>
      </w:r>
    </w:p>
    <w:p>
      <w:pPr>
        <w:spacing w:line="360" w:lineRule="auto" w:after="80"/>
      </w:pPr>
      <w:r>
        <w:rPr>
          <w:b w:val="0"/>
          <w:i w:val="0"/>
          <w:sz w:val="22"/>
        </w:rPr>
        <w:t>[42] Tao T, Zhang Y, Zhu YC, et al. Exenatide, Metformin, or Both for Prediabetes in PCOS: A Randomized, Open-label, Parallel-group Controlled Study. J Clin Endocrinol Metab 2021;106(3):e1420–e1432.</w:t>
      </w:r>
    </w:p>
    <w:p>
      <w:pPr>
        <w:spacing w:line="360" w:lineRule="auto" w:after="80"/>
      </w:pPr>
      <w:r>
        <w:rPr>
          <w:b w:val="0"/>
          <w:i w:val="0"/>
          <w:sz w:val="22"/>
        </w:rPr>
        <w:t>[43] Sridharan K, Sivaramakrishnan G. Expanding therapeutic horizons: glucagon-like peptide-1 receptor agonists and sodium glucose transporter-2 inhibitors in polycystic ovarian syndrome: a comprehensive review including systematic review and network meta-analysis of randomized clinical trials. Diabetol Metab Syndr 2025;17(1):168.</w:t>
      </w:r>
    </w:p>
    <w:p>
      <w:pPr>
        <w:spacing w:line="360" w:lineRule="auto" w:after="80"/>
      </w:pPr>
      <w:r>
        <w:rPr>
          <w:b w:val="0"/>
          <w:i w:val="0"/>
          <w:sz w:val="22"/>
        </w:rPr>
        <w:t>[44] Reiser E, Lanbach J, Böttcher B, et al. Non-Hormonal Treatment Options for Regulation of Menstrual Cycle in Adolescents with PCOS. J Clin Med 2022;12(1):67.</w:t>
      </w:r>
    </w:p>
    <w:p>
      <w:pPr>
        <w:spacing w:line="360" w:lineRule="auto" w:after="80"/>
      </w:pPr>
      <w:r>
        <w:rPr>
          <w:b w:val="0"/>
          <w:i w:val="0"/>
          <w:sz w:val="22"/>
        </w:rPr>
        <w:t>[45] Pugeat M, Plotton I, de la Perrière AB, et al. MANAGEMENT OF ENDOCRINE DISEASE Hyperandrogenic states in women: pitfalls in laboratory diagnosis. Eur J Endocrinol 2018;178(4):R141–R154.</w:t>
      </w:r>
    </w:p>
    <w:p>
      <w:pPr>
        <w:spacing w:line="360" w:lineRule="auto" w:after="80"/>
      </w:pPr>
      <w:r>
        <w:rPr>
          <w:b w:val="0"/>
          <w:i w:val="0"/>
          <w:sz w:val="22"/>
        </w:rPr>
        <w:t>[46] La Vignera S, Condorelli RA. Unconventional Applications of Semaglutide and Tirzepatide: From Oncology to Human Reproduction. Biomedicines 2026;14(7):1644.</w:t>
      </w:r>
    </w:p>
    <w:p>
      <w:pPr>
        <w:spacing w:line="360" w:lineRule="auto" w:after="80"/>
      </w:pPr>
      <w:r>
        <w:rPr>
          <w:b w:val="0"/>
          <w:i w:val="0"/>
          <w:sz w:val="22"/>
        </w:rPr>
        <w:t>[47] Button AM, Persaud A, Tanner AB, et al. Intersection between Eating Disorders and Obesity in Youth: Implications for Treatment. Curr Obes Rep 2025;14(1):71.</w:t>
      </w:r>
    </w:p>
    <w:p>
      <w:pPr>
        <w:spacing w:line="360" w:lineRule="auto" w:after="80"/>
      </w:pPr>
      <w:r>
        <w:rPr>
          <w:b w:val="0"/>
          <w:i w:val="0"/>
          <w:sz w:val="22"/>
        </w:rPr>
        <w:t>[48] Pikó B, Kiss H, Gráczer A. Fiatal nők testértékelésének kapcsolata az evészavarokkal és pszichológiai változókkal. Orv Hetil 2022;163(27):1082–1088.</w:t>
      </w:r>
    </w:p>
    <w:p>
      <w:pPr>
        <w:spacing w:line="360" w:lineRule="auto" w:after="80"/>
      </w:pPr>
      <w:r>
        <w:rPr>
          <w:b w:val="0"/>
          <w:i w:val="0"/>
          <w:sz w:val="22"/>
        </w:rPr>
        <w:t>[49] Skelley JW, Swearengin K, York AL, et al. The impact of tirzepatide and glucagon-like peptide 1 receptor agonists on oral hormonal contraception. J Am Pharm Assoc (2003) 2024;64(1):204–211.e4.</w:t>
      </w:r>
    </w:p>
    <w:p>
      <w:pPr>
        <w:spacing w:line="360" w:lineRule="auto" w:after="80"/>
      </w:pPr>
      <w:r>
        <w:rPr>
          <w:b w:val="0"/>
          <w:i w:val="0"/>
          <w:sz w:val="22"/>
        </w:rPr>
        <w:t>[50] Wilding JPH, Batterham RL, Davies M, et al. Weight regain and cardiometabolic effects after withdrawal of semaglutide: The STEP 1 trial extension. Diabetes Obes Metab 2022;24(8):1553–64.</w:t>
      </w:r>
    </w:p>
    <w:p>
      <w:pPr>
        <w:spacing w:line="360" w:lineRule="auto" w:after="80"/>
      </w:pPr>
      <w:r>
        <w:rPr>
          <w:b w:val="0"/>
          <w:i w:val="0"/>
          <w:sz w:val="22"/>
        </w:rPr>
        <w:t>[51] Seighali N, Gholami-Chahkand MS, Ebrahimzade M, et al. Effect of oral semaglutide on cardiometabolic risk factors in overweight and obese individuals with or without diabetes: a systematic review and meta-analysis. BMC Pharmacol Toxicol 2026;27(1). doi: 10.1186/s40360-026-01149-5</w:t>
      </w:r>
    </w:p>
    <w:p>
      <w:pPr>
        <w:spacing w:line="360" w:lineRule="auto" w:after="80"/>
      </w:pPr>
      <w:r>
        <w:rPr>
          <w:b w:val="0"/>
          <w:i w:val="0"/>
          <w:sz w:val="22"/>
        </w:rPr>
        <w:t>[52] Lincoff AM, Brown-Frandsen K, Colhoun HM, et al. Semaglutide and Cardiovascular Outcomes in Obesity without Diabetes. N Engl J Med 2023;389(24):2221–32.</w:t>
      </w:r>
    </w:p>
    <w:p>
      <w:pPr>
        <w:spacing w:line="360" w:lineRule="auto" w:after="80"/>
      </w:pPr>
      <w:r>
        <w:rPr>
          <w:b w:val="0"/>
          <w:i w:val="0"/>
          <w:sz w:val="22"/>
        </w:rPr>
        <w:t>[53] Ryan DH, Lingvay I, Deanfield J, et al. Long-term weight loss effects of semaglutide in obesity without diabetes in the SELECT trial. Nat Med 2024;30(7):2049–57.</w:t>
      </w:r>
    </w:p>
    <w:p>
      <w:pPr>
        <w:spacing w:line="360" w:lineRule="auto" w:after="80"/>
      </w:pPr>
      <w:r>
        <w:rPr>
          <w:b w:val="0"/>
          <w:i w:val="0"/>
          <w:sz w:val="22"/>
        </w:rPr>
        <w:t>[54] Ling J, Chen S, Zahry NR, et al. Economic burden of childhood overweight and obesity: A systematic review and meta-analysis. Obes Rev 2023;24(2):e13535.</w:t>
      </w:r>
    </w:p>
    <w:p>
      <w:r>
        <w:br w:type="page"/>
      </w:r>
    </w:p>
    <w:p>
      <w:pPr>
        <w:spacing w:after="120"/>
      </w:pPr>
      <w:r>
        <w:rPr>
          <w:b/>
          <w:sz w:val="24"/>
        </w:rPr>
        <w:t>1. táblázat. Randomizált inkretin-vizsgálatok a gyermek- és serdülőkori elhízás kezelésében</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pPr>
              <w:spacing w:line="240" w:lineRule="auto"/>
            </w:pPr>
            <w:r/>
            <w:r>
              <w:rPr>
                <w:rFonts w:ascii="Times New Roman" w:hAnsi="Times New Roman"/>
                <w:b/>
                <w:sz w:val="18"/>
              </w:rPr>
              <w:t>Vizsgálat</w:t>
            </w:r>
          </w:p>
        </w:tc>
        <w:tc>
          <w:tcPr>
            <w:tcW w:type="dxa" w:w="1344"/>
          </w:tcPr>
          <w:p>
            <w:pPr>
              <w:spacing w:line="240" w:lineRule="auto"/>
            </w:pPr>
            <w:r/>
            <w:r>
              <w:rPr>
                <w:rFonts w:ascii="Times New Roman" w:hAnsi="Times New Roman"/>
                <w:b/>
                <w:sz w:val="18"/>
              </w:rPr>
              <w:t>Hatóanyag és adag</w:t>
            </w:r>
          </w:p>
        </w:tc>
        <w:tc>
          <w:tcPr>
            <w:tcW w:type="dxa" w:w="1344"/>
          </w:tcPr>
          <w:p>
            <w:pPr>
              <w:spacing w:line="240" w:lineRule="auto"/>
            </w:pPr>
            <w:r/>
            <w:r>
              <w:rPr>
                <w:rFonts w:ascii="Times New Roman" w:hAnsi="Times New Roman"/>
                <w:b/>
                <w:sz w:val="18"/>
              </w:rPr>
              <w:t>Életkor</w:t>
            </w:r>
          </w:p>
        </w:tc>
        <w:tc>
          <w:tcPr>
            <w:tcW w:type="dxa" w:w="1344"/>
          </w:tcPr>
          <w:p>
            <w:pPr>
              <w:spacing w:line="240" w:lineRule="auto"/>
            </w:pPr>
            <w:r/>
            <w:r>
              <w:rPr>
                <w:rFonts w:ascii="Times New Roman" w:hAnsi="Times New Roman"/>
                <w:b/>
                <w:sz w:val="18"/>
              </w:rPr>
              <w:t>Résztvevők (n)</w:t>
            </w:r>
          </w:p>
        </w:tc>
        <w:tc>
          <w:tcPr>
            <w:tcW w:type="dxa" w:w="1344"/>
          </w:tcPr>
          <w:p>
            <w:pPr>
              <w:spacing w:line="240" w:lineRule="auto"/>
            </w:pPr>
            <w:r/>
            <w:r>
              <w:rPr>
                <w:rFonts w:ascii="Times New Roman" w:hAnsi="Times New Roman"/>
                <w:b/>
                <w:sz w:val="18"/>
              </w:rPr>
              <w:t>Időtartam</w:t>
            </w:r>
          </w:p>
        </w:tc>
        <w:tc>
          <w:tcPr>
            <w:tcW w:type="dxa" w:w="1344"/>
          </w:tcPr>
          <w:p>
            <w:pPr>
              <w:spacing w:line="240" w:lineRule="auto"/>
            </w:pPr>
            <w:r/>
            <w:r>
              <w:rPr>
                <w:rFonts w:ascii="Times New Roman" w:hAnsi="Times New Roman"/>
                <w:b/>
                <w:sz w:val="18"/>
              </w:rPr>
              <w:t>Elsődleges végpont és eredmény</w:t>
            </w:r>
          </w:p>
        </w:tc>
        <w:tc>
          <w:tcPr>
            <w:tcW w:type="dxa" w:w="1344"/>
          </w:tcPr>
          <w:p>
            <w:pPr>
              <w:spacing w:line="240" w:lineRule="auto"/>
            </w:pPr>
            <w:r/>
            <w:r>
              <w:rPr>
                <w:rFonts w:ascii="Times New Roman" w:hAnsi="Times New Roman"/>
                <w:b/>
                <w:sz w:val="18"/>
              </w:rPr>
              <w:t>Kulcsmegfigyelés</w:t>
            </w:r>
          </w:p>
        </w:tc>
      </w:tr>
      <w:tr>
        <w:tc>
          <w:tcPr>
            <w:tcW w:type="dxa" w:w="1344"/>
          </w:tcPr>
          <w:p>
            <w:pPr>
              <w:spacing w:line="240" w:lineRule="auto"/>
            </w:pPr>
            <w:r/>
            <w:r>
              <w:rPr>
                <w:rFonts w:ascii="Times New Roman" w:hAnsi="Times New Roman"/>
                <w:b w:val="0"/>
                <w:sz w:val="18"/>
              </w:rPr>
              <w:t>STEP TEENS [21]</w:t>
            </w:r>
          </w:p>
        </w:tc>
        <w:tc>
          <w:tcPr>
            <w:tcW w:type="dxa" w:w="1344"/>
          </w:tcPr>
          <w:p>
            <w:pPr>
              <w:spacing w:line="240" w:lineRule="auto"/>
            </w:pPr>
            <w:r/>
            <w:r>
              <w:rPr>
                <w:rFonts w:ascii="Times New Roman" w:hAnsi="Times New Roman"/>
                <w:b w:val="0"/>
                <w:sz w:val="18"/>
              </w:rPr>
              <w:t>szemaglutid 2,4 mg hetente</w:t>
            </w:r>
          </w:p>
        </w:tc>
        <w:tc>
          <w:tcPr>
            <w:tcW w:type="dxa" w:w="1344"/>
          </w:tcPr>
          <w:p>
            <w:pPr>
              <w:spacing w:line="240" w:lineRule="auto"/>
            </w:pPr>
            <w:r/>
            <w:r>
              <w:rPr>
                <w:rFonts w:ascii="Times New Roman" w:hAnsi="Times New Roman"/>
                <w:b w:val="0"/>
                <w:sz w:val="18"/>
              </w:rPr>
              <w:t>12–&lt;18 év</w:t>
            </w:r>
          </w:p>
        </w:tc>
        <w:tc>
          <w:tcPr>
            <w:tcW w:type="dxa" w:w="1344"/>
          </w:tcPr>
          <w:p>
            <w:pPr>
              <w:spacing w:line="240" w:lineRule="auto"/>
            </w:pPr>
            <w:r/>
            <w:r>
              <w:rPr>
                <w:rFonts w:ascii="Times New Roman" w:hAnsi="Times New Roman"/>
                <w:b w:val="0"/>
                <w:sz w:val="18"/>
              </w:rPr>
              <w:t>201</w:t>
            </w:r>
          </w:p>
        </w:tc>
        <w:tc>
          <w:tcPr>
            <w:tcW w:type="dxa" w:w="1344"/>
          </w:tcPr>
          <w:p>
            <w:pPr>
              <w:spacing w:line="240" w:lineRule="auto"/>
            </w:pPr>
            <w:r/>
            <w:r>
              <w:rPr>
                <w:rFonts w:ascii="Times New Roman" w:hAnsi="Times New Roman"/>
                <w:b w:val="0"/>
                <w:sz w:val="18"/>
              </w:rPr>
              <w:t>68 hét</w:t>
            </w:r>
          </w:p>
        </w:tc>
        <w:tc>
          <w:tcPr>
            <w:tcW w:type="dxa" w:w="1344"/>
          </w:tcPr>
          <w:p>
            <w:pPr>
              <w:spacing w:line="240" w:lineRule="auto"/>
            </w:pPr>
            <w:r/>
            <w:r>
              <w:rPr>
                <w:rFonts w:ascii="Times New Roman" w:hAnsi="Times New Roman"/>
                <w:b w:val="0"/>
                <w:sz w:val="18"/>
              </w:rPr>
              <w:t>BMI-változás: −16,1% vs. +0,6% (különbség −16,7 százalékpont; 95% CI −20,3 – −13,2)</w:t>
            </w:r>
          </w:p>
        </w:tc>
        <w:tc>
          <w:tcPr>
            <w:tcW w:type="dxa" w:w="1344"/>
          </w:tcPr>
          <w:p>
            <w:pPr>
              <w:spacing w:line="240" w:lineRule="auto"/>
            </w:pPr>
            <w:r/>
            <w:r>
              <w:rPr>
                <w:rFonts w:ascii="Times New Roman" w:hAnsi="Times New Roman"/>
                <w:b w:val="0"/>
                <w:sz w:val="18"/>
              </w:rPr>
              <w:t>≥5% testsúlycsökkenés: 73% vs. 18%; gastrointestinalis mellékhatás 62% vs. 42%; epekövesség 4%</w:t>
            </w:r>
          </w:p>
        </w:tc>
      </w:tr>
      <w:tr>
        <w:tc>
          <w:tcPr>
            <w:tcW w:type="dxa" w:w="1344"/>
          </w:tcPr>
          <w:p>
            <w:pPr>
              <w:spacing w:line="240" w:lineRule="auto"/>
            </w:pPr>
            <w:r/>
            <w:r>
              <w:rPr>
                <w:rFonts w:ascii="Times New Roman" w:hAnsi="Times New Roman"/>
                <w:b w:val="0"/>
                <w:sz w:val="18"/>
              </w:rPr>
              <w:t>STEP TEENS post hoc [23]</w:t>
            </w:r>
          </w:p>
        </w:tc>
        <w:tc>
          <w:tcPr>
            <w:tcW w:type="dxa" w:w="1344"/>
          </w:tcPr>
          <w:p>
            <w:pPr>
              <w:spacing w:line="240" w:lineRule="auto"/>
            </w:pPr>
            <w:r/>
            <w:r>
              <w:rPr>
                <w:rFonts w:ascii="Times New Roman" w:hAnsi="Times New Roman"/>
                <w:b w:val="0"/>
                <w:sz w:val="18"/>
              </w:rPr>
              <w:t>szemaglutid 2,4 mg hetente</w:t>
            </w:r>
          </w:p>
        </w:tc>
        <w:tc>
          <w:tcPr>
            <w:tcW w:type="dxa" w:w="1344"/>
          </w:tcPr>
          <w:p>
            <w:pPr>
              <w:spacing w:line="240" w:lineRule="auto"/>
            </w:pPr>
            <w:r/>
            <w:r>
              <w:rPr>
                <w:rFonts w:ascii="Times New Roman" w:hAnsi="Times New Roman"/>
                <w:b w:val="0"/>
                <w:sz w:val="18"/>
              </w:rPr>
              <w:t>12–&lt;18 év</w:t>
            </w:r>
          </w:p>
        </w:tc>
        <w:tc>
          <w:tcPr>
            <w:tcW w:type="dxa" w:w="1344"/>
          </w:tcPr>
          <w:p>
            <w:pPr>
              <w:spacing w:line="240" w:lineRule="auto"/>
            </w:pPr>
            <w:r/>
            <w:r>
              <w:rPr>
                <w:rFonts w:ascii="Times New Roman" w:hAnsi="Times New Roman"/>
                <w:b w:val="0"/>
                <w:sz w:val="18"/>
              </w:rPr>
              <w:t>201</w:t>
            </w:r>
          </w:p>
        </w:tc>
        <w:tc>
          <w:tcPr>
            <w:tcW w:type="dxa" w:w="1344"/>
          </w:tcPr>
          <w:p>
            <w:pPr>
              <w:spacing w:line="240" w:lineRule="auto"/>
            </w:pPr>
            <w:r/>
            <w:r>
              <w:rPr>
                <w:rFonts w:ascii="Times New Roman" w:hAnsi="Times New Roman"/>
                <w:b w:val="0"/>
                <w:sz w:val="18"/>
              </w:rPr>
              <w:t>68 hét</w:t>
            </w:r>
          </w:p>
        </w:tc>
        <w:tc>
          <w:tcPr>
            <w:tcW w:type="dxa" w:w="1344"/>
          </w:tcPr>
          <w:p>
            <w:pPr>
              <w:spacing w:line="240" w:lineRule="auto"/>
            </w:pPr>
            <w:r/>
            <w:r>
              <w:rPr>
                <w:rFonts w:ascii="Times New Roman" w:hAnsi="Times New Roman"/>
                <w:b w:val="0"/>
                <w:sz w:val="18"/>
              </w:rPr>
              <w:t>BMI-kategória javulása</w:t>
            </w:r>
          </w:p>
        </w:tc>
        <w:tc>
          <w:tcPr>
            <w:tcW w:type="dxa" w:w="1344"/>
          </w:tcPr>
          <w:p>
            <w:pPr>
              <w:spacing w:line="240" w:lineRule="auto"/>
            </w:pPr>
            <w:r/>
            <w:r>
              <w:rPr>
                <w:rFonts w:ascii="Times New Roman" w:hAnsi="Times New Roman"/>
                <w:b w:val="0"/>
                <w:sz w:val="18"/>
              </w:rPr>
              <w:t>normál testsúly/túlsúly kategóriába lépett: 44,9% vs. 12,1%; ≥1 kategóriát javult: 73,7% vs. 19,0%</w:t>
            </w:r>
          </w:p>
        </w:tc>
      </w:tr>
      <w:tr>
        <w:tc>
          <w:tcPr>
            <w:tcW w:type="dxa" w:w="1344"/>
          </w:tcPr>
          <w:p>
            <w:pPr>
              <w:spacing w:line="240" w:lineRule="auto"/>
            </w:pPr>
            <w:r/>
            <w:r>
              <w:rPr>
                <w:rFonts w:ascii="Times New Roman" w:hAnsi="Times New Roman"/>
                <w:b w:val="0"/>
                <w:sz w:val="18"/>
              </w:rPr>
              <w:t>SCALE Teens [24]</w:t>
            </w:r>
          </w:p>
        </w:tc>
        <w:tc>
          <w:tcPr>
            <w:tcW w:type="dxa" w:w="1344"/>
          </w:tcPr>
          <w:p>
            <w:pPr>
              <w:spacing w:line="240" w:lineRule="auto"/>
            </w:pPr>
            <w:r/>
            <w:r>
              <w:rPr>
                <w:rFonts w:ascii="Times New Roman" w:hAnsi="Times New Roman"/>
                <w:b w:val="0"/>
                <w:sz w:val="18"/>
              </w:rPr>
              <w:t>liraglutid 3,0 mg naponta</w:t>
            </w:r>
          </w:p>
        </w:tc>
        <w:tc>
          <w:tcPr>
            <w:tcW w:type="dxa" w:w="1344"/>
          </w:tcPr>
          <w:p>
            <w:pPr>
              <w:spacing w:line="240" w:lineRule="auto"/>
            </w:pPr>
            <w:r/>
            <w:r>
              <w:rPr>
                <w:rFonts w:ascii="Times New Roman" w:hAnsi="Times New Roman"/>
                <w:b w:val="0"/>
                <w:sz w:val="18"/>
              </w:rPr>
              <w:t>12–&lt;18 év</w:t>
            </w:r>
          </w:p>
        </w:tc>
        <w:tc>
          <w:tcPr>
            <w:tcW w:type="dxa" w:w="1344"/>
          </w:tcPr>
          <w:p>
            <w:pPr>
              <w:spacing w:line="240" w:lineRule="auto"/>
            </w:pPr>
            <w:r/>
            <w:r>
              <w:rPr>
                <w:rFonts w:ascii="Times New Roman" w:hAnsi="Times New Roman"/>
                <w:b w:val="0"/>
                <w:sz w:val="18"/>
              </w:rPr>
              <w:t>251</w:t>
            </w:r>
          </w:p>
        </w:tc>
        <w:tc>
          <w:tcPr>
            <w:tcW w:type="dxa" w:w="1344"/>
          </w:tcPr>
          <w:p>
            <w:pPr>
              <w:spacing w:line="240" w:lineRule="auto"/>
            </w:pPr>
            <w:r/>
            <w:r>
              <w:rPr>
                <w:rFonts w:ascii="Times New Roman" w:hAnsi="Times New Roman"/>
                <w:b w:val="0"/>
                <w:sz w:val="18"/>
              </w:rPr>
              <w:t>56 hét + 26 hét utánkövetés</w:t>
            </w:r>
          </w:p>
        </w:tc>
        <w:tc>
          <w:tcPr>
            <w:tcW w:type="dxa" w:w="1344"/>
          </w:tcPr>
          <w:p>
            <w:pPr>
              <w:spacing w:line="240" w:lineRule="auto"/>
            </w:pPr>
            <w:r/>
            <w:r>
              <w:rPr>
                <w:rFonts w:ascii="Times New Roman" w:hAnsi="Times New Roman"/>
                <w:b w:val="0"/>
                <w:sz w:val="18"/>
              </w:rPr>
              <w:t>BMI-SDS-változás: becsült különbség −0,22 (95% CI −0,37 – −0,08)</w:t>
            </w:r>
          </w:p>
        </w:tc>
        <w:tc>
          <w:tcPr>
            <w:tcW w:type="dxa" w:w="1344"/>
          </w:tcPr>
          <w:p>
            <w:pPr>
              <w:spacing w:line="240" w:lineRule="auto"/>
            </w:pPr>
            <w:r/>
            <w:r>
              <w:rPr>
                <w:rFonts w:ascii="Times New Roman" w:hAnsi="Times New Roman"/>
                <w:b w:val="0"/>
                <w:sz w:val="18"/>
              </w:rPr>
              <w:t>≥5% BMI-csökkenés 43,3% vs. 18,7%; elhagyás után visszaemelkedés; egy befejezett öngyilkosság a liraglutid-karon</w:t>
            </w:r>
          </w:p>
        </w:tc>
      </w:tr>
      <w:tr>
        <w:tc>
          <w:tcPr>
            <w:tcW w:type="dxa" w:w="1344"/>
          </w:tcPr>
          <w:p>
            <w:pPr>
              <w:spacing w:line="240" w:lineRule="auto"/>
            </w:pPr>
            <w:r/>
            <w:r>
              <w:rPr>
                <w:rFonts w:ascii="Times New Roman" w:hAnsi="Times New Roman"/>
                <w:b w:val="0"/>
                <w:sz w:val="18"/>
              </w:rPr>
              <w:t>SCALE Kids [25]</w:t>
            </w:r>
          </w:p>
        </w:tc>
        <w:tc>
          <w:tcPr>
            <w:tcW w:type="dxa" w:w="1344"/>
          </w:tcPr>
          <w:p>
            <w:pPr>
              <w:spacing w:line="240" w:lineRule="auto"/>
            </w:pPr>
            <w:r/>
            <w:r>
              <w:rPr>
                <w:rFonts w:ascii="Times New Roman" w:hAnsi="Times New Roman"/>
                <w:b w:val="0"/>
                <w:sz w:val="18"/>
              </w:rPr>
              <w:t>liraglutid 3,0 mg naponta</w:t>
            </w:r>
          </w:p>
        </w:tc>
        <w:tc>
          <w:tcPr>
            <w:tcW w:type="dxa" w:w="1344"/>
          </w:tcPr>
          <w:p>
            <w:pPr>
              <w:spacing w:line="240" w:lineRule="auto"/>
            </w:pPr>
            <w:r/>
            <w:r>
              <w:rPr>
                <w:rFonts w:ascii="Times New Roman" w:hAnsi="Times New Roman"/>
                <w:b w:val="0"/>
                <w:sz w:val="18"/>
              </w:rPr>
              <w:t>6–&lt;12 év</w:t>
            </w:r>
          </w:p>
        </w:tc>
        <w:tc>
          <w:tcPr>
            <w:tcW w:type="dxa" w:w="1344"/>
          </w:tcPr>
          <w:p>
            <w:pPr>
              <w:spacing w:line="240" w:lineRule="auto"/>
            </w:pPr>
            <w:r/>
            <w:r>
              <w:rPr>
                <w:rFonts w:ascii="Times New Roman" w:hAnsi="Times New Roman"/>
                <w:b w:val="0"/>
                <w:sz w:val="18"/>
              </w:rPr>
              <w:t>82</w:t>
            </w:r>
          </w:p>
        </w:tc>
        <w:tc>
          <w:tcPr>
            <w:tcW w:type="dxa" w:w="1344"/>
          </w:tcPr>
          <w:p>
            <w:pPr>
              <w:spacing w:line="240" w:lineRule="auto"/>
            </w:pPr>
            <w:r/>
            <w:r>
              <w:rPr>
                <w:rFonts w:ascii="Times New Roman" w:hAnsi="Times New Roman"/>
                <w:b w:val="0"/>
                <w:sz w:val="18"/>
              </w:rPr>
              <w:t>56 hét + 26 hét utánkövetés</w:t>
            </w:r>
          </w:p>
        </w:tc>
        <w:tc>
          <w:tcPr>
            <w:tcW w:type="dxa" w:w="1344"/>
          </w:tcPr>
          <w:p>
            <w:pPr>
              <w:spacing w:line="240" w:lineRule="auto"/>
            </w:pPr>
            <w:r/>
            <w:r>
              <w:rPr>
                <w:rFonts w:ascii="Times New Roman" w:hAnsi="Times New Roman"/>
                <w:b w:val="0"/>
                <w:sz w:val="18"/>
              </w:rPr>
              <w:t>BMI-változás: −5,8% vs. +1,6% (különbség −7,4 százalékpont; 95% CI −11,6 – −3,2)</w:t>
            </w:r>
          </w:p>
        </w:tc>
        <w:tc>
          <w:tcPr>
            <w:tcW w:type="dxa" w:w="1344"/>
          </w:tcPr>
          <w:p>
            <w:pPr>
              <w:spacing w:line="240" w:lineRule="auto"/>
            </w:pPr>
            <w:r/>
            <w:r>
              <w:rPr>
                <w:rFonts w:ascii="Times New Roman" w:hAnsi="Times New Roman"/>
                <w:b w:val="0"/>
                <w:sz w:val="18"/>
              </w:rPr>
              <w:t>≥5% BMI-csökkenés 46% vs. 9%; gastrointestinalis mellékhatás 80% vs. 54%</w:t>
            </w:r>
          </w:p>
        </w:tc>
      </w:tr>
      <w:tr>
        <w:tc>
          <w:tcPr>
            <w:tcW w:type="dxa" w:w="1344"/>
          </w:tcPr>
          <w:p>
            <w:pPr>
              <w:spacing w:line="240" w:lineRule="auto"/>
            </w:pPr>
            <w:r/>
            <w:r>
              <w:rPr>
                <w:rFonts w:ascii="Times New Roman" w:hAnsi="Times New Roman"/>
                <w:b w:val="0"/>
                <w:sz w:val="18"/>
              </w:rPr>
              <w:t>Hálózati metaanalízis, 2-es típusú diabetes [22]</w:t>
            </w:r>
          </w:p>
        </w:tc>
        <w:tc>
          <w:tcPr>
            <w:tcW w:type="dxa" w:w="1344"/>
          </w:tcPr>
          <w:p>
            <w:pPr>
              <w:spacing w:line="240" w:lineRule="auto"/>
            </w:pPr>
            <w:r/>
            <w:r>
              <w:rPr>
                <w:rFonts w:ascii="Times New Roman" w:hAnsi="Times New Roman"/>
                <w:b w:val="0"/>
                <w:sz w:val="18"/>
              </w:rPr>
              <w:t>liraglutid, exenatid, metformin és egyéb szerek</w:t>
            </w:r>
          </w:p>
        </w:tc>
        <w:tc>
          <w:tcPr>
            <w:tcW w:type="dxa" w:w="1344"/>
          </w:tcPr>
          <w:p>
            <w:pPr>
              <w:spacing w:line="240" w:lineRule="auto"/>
            </w:pPr>
            <w:r/>
            <w:r>
              <w:rPr>
                <w:rFonts w:ascii="Times New Roman" w:hAnsi="Times New Roman"/>
                <w:b w:val="0"/>
                <w:sz w:val="18"/>
              </w:rPr>
              <w:t>10–17 év</w:t>
            </w:r>
          </w:p>
        </w:tc>
        <w:tc>
          <w:tcPr>
            <w:tcW w:type="dxa" w:w="1344"/>
          </w:tcPr>
          <w:p>
            <w:pPr>
              <w:spacing w:line="240" w:lineRule="auto"/>
            </w:pPr>
            <w:r/>
            <w:r>
              <w:rPr>
                <w:rFonts w:ascii="Times New Roman" w:hAnsi="Times New Roman"/>
                <w:b w:val="0"/>
                <w:sz w:val="18"/>
              </w:rPr>
              <w:t>12 vizsgálat</w:t>
            </w:r>
          </w:p>
        </w:tc>
        <w:tc>
          <w:tcPr>
            <w:tcW w:type="dxa" w:w="1344"/>
          </w:tcPr>
          <w:p>
            <w:pPr>
              <w:spacing w:line="240" w:lineRule="auto"/>
            </w:pPr>
            <w:r/>
            <w:r>
              <w:rPr>
                <w:rFonts w:ascii="Times New Roman" w:hAnsi="Times New Roman"/>
                <w:b w:val="0"/>
                <w:sz w:val="18"/>
              </w:rPr>
              <w:t>változó</w:t>
            </w:r>
          </w:p>
        </w:tc>
        <w:tc>
          <w:tcPr>
            <w:tcW w:type="dxa" w:w="1344"/>
          </w:tcPr>
          <w:p>
            <w:pPr>
              <w:spacing w:line="240" w:lineRule="auto"/>
            </w:pPr>
            <w:r/>
            <w:r>
              <w:rPr>
                <w:rFonts w:ascii="Times New Roman" w:hAnsi="Times New Roman"/>
                <w:b w:val="0"/>
                <w:sz w:val="18"/>
              </w:rPr>
              <w:t>HbA1c-csökkenés</w:t>
            </w:r>
          </w:p>
        </w:tc>
        <w:tc>
          <w:tcPr>
            <w:tcW w:type="dxa" w:w="1344"/>
          </w:tcPr>
          <w:p>
            <w:pPr>
              <w:spacing w:line="240" w:lineRule="auto"/>
            </w:pPr>
            <w:r/>
            <w:r>
              <w:rPr>
                <w:rFonts w:ascii="Times New Roman" w:hAnsi="Times New Roman"/>
                <w:b w:val="0"/>
                <w:sz w:val="18"/>
              </w:rPr>
              <w:t>a liraglutid – önmagában és metforminnal – a leghatékonyabb szerek között</w:t>
            </w:r>
          </w:p>
        </w:tc>
      </w:tr>
    </w:tbl>
    <w:p>
      <w:pPr>
        <w:spacing w:after="80"/>
      </w:pPr>
    </w:p>
    <w:p>
      <w:pPr>
        <w:spacing w:line="240" w:lineRule="auto"/>
      </w:pPr>
      <w:r>
        <w:rPr>
          <w:b w:val="0"/>
          <w:i/>
          <w:sz w:val="18"/>
        </w:rPr>
        <w:t>A korosztályon kívüli, de a mérlegelés szempontjából releváns bizonyíték: a SURMOUNT-programok post hoc elemzésében (n = 3782, felnőttek) a 25 éves kor előtt diagnosztizált obesitasban szenvedők hosszabb betegségtartammal és magasabb kiindulási BMI-vel léptek a tirzepatid-kezelésbe [28]. A SELECT vizsgálatban (n = 17 604, 45 év feletti felnőttek kardiovaszkuláris betegséggel) a szemaglutid 20%-kal csökkentette a major kardiovaszkuláris események kockázatát [52], miközben a testsúlycsökkenés négy év alatt átlagosan 10,2% volt [53]. A tirzepatid 18 éves kor alatt nem törzskönyvezett.</w:t>
      </w:r>
    </w:p>
    <w:p>
      <w:pPr>
        <w:spacing w:line="240" w:lineRule="auto"/>
      </w:pPr>
      <w:r>
        <w:rPr>
          <w:b w:val="0"/>
          <w:i/>
          <w:sz w:val="18"/>
        </w:rPr>
        <w:t>Rövidítések: BMI = testtömegindex; BMI-SDS = BMI-standard deviációs pontszám; CI = konfidenciaintervallum.</w:t>
      </w:r>
    </w:p>
    <w:p>
      <w:r>
        <w:br w:type="page"/>
      </w:r>
    </w:p>
    <w:p>
      <w:pPr>
        <w:spacing w:after="120"/>
      </w:pPr>
      <w:r>
        <w:rPr>
          <w:b/>
          <w:sz w:val="24"/>
        </w:rPr>
        <w:t>2. táblázat. Az obesitas-asszociált társbetegségek élettartam-terhe a modellben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line="240" w:lineRule="auto"/>
            </w:pPr>
            <w:r/>
            <w:r>
              <w:rPr>
                <w:rFonts w:ascii="Times New Roman" w:hAnsi="Times New Roman"/>
                <w:b/>
                <w:sz w:val="18"/>
              </w:rPr>
              <w:t>Kimenet</w:t>
            </w:r>
          </w:p>
        </w:tc>
        <w:tc>
          <w:tcPr>
            <w:tcW w:type="dxa" w:w="1881"/>
          </w:tcPr>
          <w:p>
            <w:pPr>
              <w:spacing w:line="240" w:lineRule="auto"/>
            </w:pPr>
            <w:r/>
            <w:r>
              <w:rPr>
                <w:rFonts w:ascii="Times New Roman" w:hAnsi="Times New Roman"/>
                <w:b/>
                <w:sz w:val="18"/>
              </w:rPr>
              <w:t>Esemény/1000 nő (B pálya)</w:t>
            </w:r>
          </w:p>
        </w:tc>
        <w:tc>
          <w:tcPr>
            <w:tcW w:type="dxa" w:w="1881"/>
          </w:tcPr>
          <w:p>
            <w:pPr>
              <w:spacing w:line="240" w:lineRule="auto"/>
            </w:pPr>
            <w:r/>
            <w:r>
              <w:rPr>
                <w:rFonts w:ascii="Times New Roman" w:hAnsi="Times New Roman"/>
                <w:b/>
                <w:sz w:val="18"/>
              </w:rPr>
              <w:t>Esemény/1000 nő (C pálya)</w:t>
            </w:r>
          </w:p>
        </w:tc>
        <w:tc>
          <w:tcPr>
            <w:tcW w:type="dxa" w:w="1881"/>
          </w:tcPr>
          <w:p>
            <w:pPr>
              <w:spacing w:line="240" w:lineRule="auto"/>
            </w:pPr>
            <w:r/>
            <w:r>
              <w:rPr>
                <w:rFonts w:ascii="Times New Roman" w:hAnsi="Times New Roman"/>
                <w:b/>
                <w:sz w:val="18"/>
              </w:rPr>
              <w:t>Elhárított esemény</w:t>
            </w:r>
          </w:p>
        </w:tc>
        <w:tc>
          <w:tcPr>
            <w:tcW w:type="dxa" w:w="1881"/>
          </w:tcPr>
          <w:p>
            <w:pPr>
              <w:spacing w:line="240" w:lineRule="auto"/>
            </w:pPr>
            <w:r/>
            <w:r>
              <w:rPr>
                <w:rFonts w:ascii="Times New Roman" w:hAnsi="Times New Roman"/>
                <w:b/>
                <w:sz w:val="18"/>
              </w:rPr>
              <w:t>A kezelési hatás bizonyítéki alapja</w:t>
            </w:r>
          </w:p>
        </w:tc>
      </w:tr>
      <w:tr>
        <w:tc>
          <w:tcPr>
            <w:tcW w:type="dxa" w:w="1881"/>
          </w:tcPr>
          <w:p>
            <w:pPr>
              <w:spacing w:line="240" w:lineRule="auto"/>
            </w:pPr>
            <w:r/>
            <w:r>
              <w:rPr>
                <w:rFonts w:ascii="Times New Roman" w:hAnsi="Times New Roman"/>
                <w:b w:val="0"/>
                <w:sz w:val="18"/>
              </w:rPr>
              <w:t>PCOS-fenotípus (klinikai diagnózis)</w:t>
            </w:r>
          </w:p>
        </w:tc>
        <w:tc>
          <w:tcPr>
            <w:tcW w:type="dxa" w:w="1881"/>
          </w:tcPr>
          <w:p>
            <w:pPr>
              <w:spacing w:line="240" w:lineRule="auto"/>
            </w:pPr>
            <w:r/>
            <w:r>
              <w:rPr>
                <w:rFonts w:ascii="Times New Roman" w:hAnsi="Times New Roman"/>
                <w:b w:val="0"/>
                <w:sz w:val="18"/>
              </w:rPr>
              <w:t>420</w:t>
            </w:r>
          </w:p>
        </w:tc>
        <w:tc>
          <w:tcPr>
            <w:tcW w:type="dxa" w:w="1881"/>
          </w:tcPr>
          <w:p>
            <w:pPr>
              <w:spacing w:line="240" w:lineRule="auto"/>
            </w:pPr>
            <w:r/>
            <w:r>
              <w:rPr>
                <w:rFonts w:ascii="Times New Roman" w:hAnsi="Times New Roman"/>
                <w:b w:val="0"/>
                <w:sz w:val="18"/>
              </w:rPr>
              <w:t>281</w:t>
            </w:r>
          </w:p>
        </w:tc>
        <w:tc>
          <w:tcPr>
            <w:tcW w:type="dxa" w:w="1881"/>
          </w:tcPr>
          <w:p>
            <w:pPr>
              <w:spacing w:line="240" w:lineRule="auto"/>
            </w:pPr>
            <w:r/>
            <w:r>
              <w:rPr>
                <w:rFonts w:ascii="Times New Roman" w:hAnsi="Times New Roman"/>
                <w:b w:val="0"/>
                <w:sz w:val="18"/>
              </w:rPr>
              <w:t>139</w:t>
            </w:r>
          </w:p>
        </w:tc>
        <w:tc>
          <w:tcPr>
            <w:tcW w:type="dxa" w:w="1881"/>
          </w:tcPr>
          <w:p>
            <w:pPr>
              <w:spacing w:line="240" w:lineRule="auto"/>
            </w:pPr>
            <w:r/>
            <w:r>
              <w:rPr>
                <w:rFonts w:ascii="Times New Roman" w:hAnsi="Times New Roman"/>
                <w:b w:val="0"/>
                <w:sz w:val="18"/>
              </w:rPr>
              <w:t>felnőttkori randomizált adat, extrapolálva [40, 43]</w:t>
            </w:r>
          </w:p>
        </w:tc>
      </w:tr>
      <w:tr>
        <w:tc>
          <w:tcPr>
            <w:tcW w:type="dxa" w:w="1881"/>
          </w:tcPr>
          <w:p>
            <w:pPr>
              <w:spacing w:line="240" w:lineRule="auto"/>
            </w:pPr>
            <w:r/>
            <w:r>
              <w:rPr>
                <w:rFonts w:ascii="Times New Roman" w:hAnsi="Times New Roman"/>
                <w:b w:val="0"/>
                <w:sz w:val="18"/>
              </w:rPr>
              <w:t>Anovulációs infertilitás (kezelést igénylő)</w:t>
            </w:r>
          </w:p>
        </w:tc>
        <w:tc>
          <w:tcPr>
            <w:tcW w:type="dxa" w:w="1881"/>
          </w:tcPr>
          <w:p>
            <w:pPr>
              <w:spacing w:line="240" w:lineRule="auto"/>
            </w:pPr>
            <w:r/>
            <w:r>
              <w:rPr>
                <w:rFonts w:ascii="Times New Roman" w:hAnsi="Times New Roman"/>
                <w:b w:val="0"/>
                <w:sz w:val="18"/>
              </w:rPr>
              <w:t>210</w:t>
            </w:r>
          </w:p>
        </w:tc>
        <w:tc>
          <w:tcPr>
            <w:tcW w:type="dxa" w:w="1881"/>
          </w:tcPr>
          <w:p>
            <w:pPr>
              <w:spacing w:line="240" w:lineRule="auto"/>
            </w:pPr>
            <w:r/>
            <w:r>
              <w:rPr>
                <w:rFonts w:ascii="Times New Roman" w:hAnsi="Times New Roman"/>
                <w:b w:val="0"/>
                <w:sz w:val="18"/>
              </w:rPr>
              <w:t>141</w:t>
            </w:r>
          </w:p>
        </w:tc>
        <w:tc>
          <w:tcPr>
            <w:tcW w:type="dxa" w:w="1881"/>
          </w:tcPr>
          <w:p>
            <w:pPr>
              <w:spacing w:line="240" w:lineRule="auto"/>
            </w:pPr>
            <w:r/>
            <w:r>
              <w:rPr>
                <w:rFonts w:ascii="Times New Roman" w:hAnsi="Times New Roman"/>
                <w:b w:val="0"/>
                <w:sz w:val="18"/>
              </w:rPr>
              <w:t>69</w:t>
            </w:r>
          </w:p>
        </w:tc>
        <w:tc>
          <w:tcPr>
            <w:tcW w:type="dxa" w:w="1881"/>
          </w:tcPr>
          <w:p>
            <w:pPr>
              <w:spacing w:line="240" w:lineRule="auto"/>
            </w:pPr>
            <w:r/>
            <w:r>
              <w:rPr>
                <w:rFonts w:ascii="Times New Roman" w:hAnsi="Times New Roman"/>
                <w:b w:val="0"/>
                <w:sz w:val="18"/>
              </w:rPr>
              <w:t>felnőttkori randomizált adat [40, 41]</w:t>
            </w:r>
          </w:p>
        </w:tc>
      </w:tr>
      <w:tr>
        <w:tc>
          <w:tcPr>
            <w:tcW w:type="dxa" w:w="1881"/>
          </w:tcPr>
          <w:p>
            <w:pPr>
              <w:spacing w:line="240" w:lineRule="auto"/>
            </w:pPr>
            <w:r/>
            <w:r>
              <w:rPr>
                <w:rFonts w:ascii="Times New Roman" w:hAnsi="Times New Roman"/>
                <w:b w:val="0"/>
                <w:sz w:val="18"/>
              </w:rPr>
              <w:t>Gestatiós diabetes</w:t>
            </w:r>
          </w:p>
        </w:tc>
        <w:tc>
          <w:tcPr>
            <w:tcW w:type="dxa" w:w="1881"/>
          </w:tcPr>
          <w:p>
            <w:pPr>
              <w:spacing w:line="240" w:lineRule="auto"/>
            </w:pPr>
            <w:r/>
            <w:r>
              <w:rPr>
                <w:rFonts w:ascii="Times New Roman" w:hAnsi="Times New Roman"/>
                <w:b w:val="0"/>
                <w:sz w:val="18"/>
              </w:rPr>
              <w:t>180</w:t>
            </w:r>
          </w:p>
        </w:tc>
        <w:tc>
          <w:tcPr>
            <w:tcW w:type="dxa" w:w="1881"/>
          </w:tcPr>
          <w:p>
            <w:pPr>
              <w:spacing w:line="240" w:lineRule="auto"/>
            </w:pPr>
            <w:r/>
            <w:r>
              <w:rPr>
                <w:rFonts w:ascii="Times New Roman" w:hAnsi="Times New Roman"/>
                <w:b w:val="0"/>
                <w:sz w:val="18"/>
              </w:rPr>
              <w:t>115</w:t>
            </w:r>
          </w:p>
        </w:tc>
        <w:tc>
          <w:tcPr>
            <w:tcW w:type="dxa" w:w="1881"/>
          </w:tcPr>
          <w:p>
            <w:pPr>
              <w:spacing w:line="240" w:lineRule="auto"/>
            </w:pPr>
            <w:r/>
            <w:r>
              <w:rPr>
                <w:rFonts w:ascii="Times New Roman" w:hAnsi="Times New Roman"/>
                <w:b w:val="0"/>
                <w:sz w:val="18"/>
              </w:rPr>
              <w:t>65</w:t>
            </w:r>
          </w:p>
        </w:tc>
        <w:tc>
          <w:tcPr>
            <w:tcW w:type="dxa" w:w="1881"/>
          </w:tcPr>
          <w:p>
            <w:pPr>
              <w:spacing w:line="240" w:lineRule="auto"/>
            </w:pPr>
            <w:r/>
            <w:r>
              <w:rPr>
                <w:rFonts w:ascii="Times New Roman" w:hAnsi="Times New Roman"/>
                <w:b w:val="0"/>
                <w:sz w:val="18"/>
              </w:rPr>
              <w:t>metabolikus közvetítő út [18]</w:t>
            </w:r>
          </w:p>
        </w:tc>
      </w:tr>
      <w:tr>
        <w:tc>
          <w:tcPr>
            <w:tcW w:type="dxa" w:w="1881"/>
          </w:tcPr>
          <w:p>
            <w:pPr>
              <w:spacing w:line="240" w:lineRule="auto"/>
            </w:pPr>
            <w:r/>
            <w:r>
              <w:rPr>
                <w:rFonts w:ascii="Times New Roman" w:hAnsi="Times New Roman"/>
                <w:b w:val="0"/>
                <w:sz w:val="18"/>
              </w:rPr>
              <w:t>Hypertensiv kórkép</w:t>
            </w:r>
          </w:p>
        </w:tc>
        <w:tc>
          <w:tcPr>
            <w:tcW w:type="dxa" w:w="1881"/>
          </w:tcPr>
          <w:p>
            <w:pPr>
              <w:spacing w:line="240" w:lineRule="auto"/>
            </w:pPr>
            <w:r/>
            <w:r>
              <w:rPr>
                <w:rFonts w:ascii="Times New Roman" w:hAnsi="Times New Roman"/>
                <w:b w:val="0"/>
                <w:sz w:val="18"/>
              </w:rPr>
              <w:t>340</w:t>
            </w:r>
          </w:p>
        </w:tc>
        <w:tc>
          <w:tcPr>
            <w:tcW w:type="dxa" w:w="1881"/>
          </w:tcPr>
          <w:p>
            <w:pPr>
              <w:spacing w:line="240" w:lineRule="auto"/>
            </w:pPr>
            <w:r/>
            <w:r>
              <w:rPr>
                <w:rFonts w:ascii="Times New Roman" w:hAnsi="Times New Roman"/>
                <w:b w:val="0"/>
                <w:sz w:val="18"/>
              </w:rPr>
              <w:t>228</w:t>
            </w:r>
          </w:p>
        </w:tc>
        <w:tc>
          <w:tcPr>
            <w:tcW w:type="dxa" w:w="1881"/>
          </w:tcPr>
          <w:p>
            <w:pPr>
              <w:spacing w:line="240" w:lineRule="auto"/>
            </w:pPr>
            <w:r/>
            <w:r>
              <w:rPr>
                <w:rFonts w:ascii="Times New Roman" w:hAnsi="Times New Roman"/>
                <w:b w:val="0"/>
                <w:sz w:val="18"/>
              </w:rPr>
              <w:t>112</w:t>
            </w:r>
          </w:p>
        </w:tc>
        <w:tc>
          <w:tcPr>
            <w:tcW w:type="dxa" w:w="1881"/>
          </w:tcPr>
          <w:p>
            <w:pPr>
              <w:spacing w:line="240" w:lineRule="auto"/>
            </w:pPr>
            <w:r/>
            <w:r>
              <w:rPr>
                <w:rFonts w:ascii="Times New Roman" w:hAnsi="Times New Roman"/>
                <w:b w:val="0"/>
                <w:sz w:val="18"/>
              </w:rPr>
              <w:t>randomizált metaanalízis (vérnyomás-hatás) [51]; hazai prevalenciaadat [10]</w:t>
            </w:r>
          </w:p>
        </w:tc>
      </w:tr>
      <w:tr>
        <w:tc>
          <w:tcPr>
            <w:tcW w:type="dxa" w:w="1881"/>
          </w:tcPr>
          <w:p>
            <w:pPr>
              <w:spacing w:line="240" w:lineRule="auto"/>
            </w:pPr>
            <w:r/>
            <w:r>
              <w:rPr>
                <w:rFonts w:ascii="Times New Roman" w:hAnsi="Times New Roman"/>
                <w:b w:val="0"/>
                <w:sz w:val="18"/>
              </w:rPr>
              <w:t>2-es típusú diabetes</w:t>
            </w:r>
          </w:p>
        </w:tc>
        <w:tc>
          <w:tcPr>
            <w:tcW w:type="dxa" w:w="1881"/>
          </w:tcPr>
          <w:p>
            <w:pPr>
              <w:spacing w:line="240" w:lineRule="auto"/>
            </w:pPr>
            <w:r/>
            <w:r>
              <w:rPr>
                <w:rFonts w:ascii="Times New Roman" w:hAnsi="Times New Roman"/>
                <w:b w:val="0"/>
                <w:sz w:val="18"/>
              </w:rPr>
              <w:t>260</w:t>
            </w:r>
          </w:p>
        </w:tc>
        <w:tc>
          <w:tcPr>
            <w:tcW w:type="dxa" w:w="1881"/>
          </w:tcPr>
          <w:p>
            <w:pPr>
              <w:spacing w:line="240" w:lineRule="auto"/>
            </w:pPr>
            <w:r/>
            <w:r>
              <w:rPr>
                <w:rFonts w:ascii="Times New Roman" w:hAnsi="Times New Roman"/>
                <w:b w:val="0"/>
                <w:sz w:val="18"/>
              </w:rPr>
              <w:t>159</w:t>
            </w:r>
          </w:p>
        </w:tc>
        <w:tc>
          <w:tcPr>
            <w:tcW w:type="dxa" w:w="1881"/>
          </w:tcPr>
          <w:p>
            <w:pPr>
              <w:spacing w:line="240" w:lineRule="auto"/>
            </w:pPr>
            <w:r/>
            <w:r>
              <w:rPr>
                <w:rFonts w:ascii="Times New Roman" w:hAnsi="Times New Roman"/>
                <w:b w:val="0"/>
                <w:sz w:val="18"/>
              </w:rPr>
              <w:t>101</w:t>
            </w:r>
          </w:p>
        </w:tc>
        <w:tc>
          <w:tcPr>
            <w:tcW w:type="dxa" w:w="1881"/>
          </w:tcPr>
          <w:p>
            <w:pPr>
              <w:spacing w:line="240" w:lineRule="auto"/>
            </w:pPr>
            <w:r/>
            <w:r>
              <w:rPr>
                <w:rFonts w:ascii="Times New Roman" w:hAnsi="Times New Roman"/>
                <w:b w:val="0"/>
                <w:sz w:val="18"/>
              </w:rPr>
              <w:t>randomizált adat a korosztályban [22]</w:t>
            </w:r>
          </w:p>
        </w:tc>
      </w:tr>
      <w:tr>
        <w:tc>
          <w:tcPr>
            <w:tcW w:type="dxa" w:w="1881"/>
          </w:tcPr>
          <w:p>
            <w:pPr>
              <w:spacing w:line="240" w:lineRule="auto"/>
            </w:pPr>
            <w:r/>
            <w:r>
              <w:rPr>
                <w:rFonts w:ascii="Times New Roman" w:hAnsi="Times New Roman"/>
                <w:b w:val="0"/>
                <w:sz w:val="18"/>
              </w:rPr>
              <w:t>Endometrium- és emlőcarcinoma</w:t>
            </w:r>
          </w:p>
        </w:tc>
        <w:tc>
          <w:tcPr>
            <w:tcW w:type="dxa" w:w="1881"/>
          </w:tcPr>
          <w:p>
            <w:pPr>
              <w:spacing w:line="240" w:lineRule="auto"/>
            </w:pPr>
            <w:r/>
            <w:r>
              <w:rPr>
                <w:rFonts w:ascii="Times New Roman" w:hAnsi="Times New Roman"/>
                <w:b w:val="0"/>
                <w:sz w:val="18"/>
              </w:rPr>
              <w:t>72</w:t>
            </w:r>
          </w:p>
        </w:tc>
        <w:tc>
          <w:tcPr>
            <w:tcW w:type="dxa" w:w="1881"/>
          </w:tcPr>
          <w:p>
            <w:pPr>
              <w:spacing w:line="240" w:lineRule="auto"/>
            </w:pPr>
            <w:r/>
            <w:r>
              <w:rPr>
                <w:rFonts w:ascii="Times New Roman" w:hAnsi="Times New Roman"/>
                <w:b w:val="0"/>
                <w:sz w:val="18"/>
              </w:rPr>
              <w:t>57</w:t>
            </w:r>
          </w:p>
        </w:tc>
        <w:tc>
          <w:tcPr>
            <w:tcW w:type="dxa" w:w="1881"/>
          </w:tcPr>
          <w:p>
            <w:pPr>
              <w:spacing w:line="240" w:lineRule="auto"/>
            </w:pPr>
            <w:r/>
            <w:r>
              <w:rPr>
                <w:rFonts w:ascii="Times New Roman" w:hAnsi="Times New Roman"/>
                <w:b w:val="0"/>
                <w:sz w:val="18"/>
              </w:rPr>
              <w:t>15</w:t>
            </w:r>
          </w:p>
        </w:tc>
        <w:tc>
          <w:tcPr>
            <w:tcW w:type="dxa" w:w="1881"/>
          </w:tcPr>
          <w:p>
            <w:pPr>
              <w:spacing w:line="240" w:lineRule="auto"/>
            </w:pPr>
            <w:r/>
            <w:r>
              <w:rPr>
                <w:rFonts w:ascii="Times New Roman" w:hAnsi="Times New Roman"/>
                <w:b w:val="0"/>
                <w:sz w:val="18"/>
              </w:rPr>
              <w:t>epidemiológiai összefüggés, expozíciós idő [13, 14]</w:t>
            </w:r>
          </w:p>
        </w:tc>
      </w:tr>
      <w:tr>
        <w:tc>
          <w:tcPr>
            <w:tcW w:type="dxa" w:w="1881"/>
          </w:tcPr>
          <w:p>
            <w:pPr>
              <w:spacing w:line="240" w:lineRule="auto"/>
            </w:pPr>
            <w:r/>
            <w:r>
              <w:rPr>
                <w:rFonts w:ascii="Times New Roman" w:hAnsi="Times New Roman"/>
                <w:b w:val="0"/>
                <w:sz w:val="18"/>
              </w:rPr>
              <w:t>Mozgásszervi/autoimmun terhelés (kezelt)</w:t>
            </w:r>
          </w:p>
        </w:tc>
        <w:tc>
          <w:tcPr>
            <w:tcW w:type="dxa" w:w="1881"/>
          </w:tcPr>
          <w:p>
            <w:pPr>
              <w:spacing w:line="240" w:lineRule="auto"/>
            </w:pPr>
            <w:r/>
            <w:r>
              <w:rPr>
                <w:rFonts w:ascii="Times New Roman" w:hAnsi="Times New Roman"/>
                <w:b w:val="0"/>
                <w:sz w:val="18"/>
              </w:rPr>
              <w:t>300</w:t>
            </w:r>
          </w:p>
        </w:tc>
        <w:tc>
          <w:tcPr>
            <w:tcW w:type="dxa" w:w="1881"/>
          </w:tcPr>
          <w:p>
            <w:pPr>
              <w:spacing w:line="240" w:lineRule="auto"/>
            </w:pPr>
            <w:r/>
            <w:r>
              <w:rPr>
                <w:rFonts w:ascii="Times New Roman" w:hAnsi="Times New Roman"/>
                <w:b w:val="0"/>
                <w:sz w:val="18"/>
              </w:rPr>
              <w:t>219</w:t>
            </w:r>
          </w:p>
        </w:tc>
        <w:tc>
          <w:tcPr>
            <w:tcW w:type="dxa" w:w="1881"/>
          </w:tcPr>
          <w:p>
            <w:pPr>
              <w:spacing w:line="240" w:lineRule="auto"/>
            </w:pPr>
            <w:r/>
            <w:r>
              <w:rPr>
                <w:rFonts w:ascii="Times New Roman" w:hAnsi="Times New Roman"/>
                <w:b w:val="0"/>
                <w:sz w:val="18"/>
              </w:rPr>
              <w:t>81</w:t>
            </w:r>
          </w:p>
        </w:tc>
        <w:tc>
          <w:tcPr>
            <w:tcW w:type="dxa" w:w="1881"/>
          </w:tcPr>
          <w:p>
            <w:pPr>
              <w:spacing w:line="240" w:lineRule="auto"/>
            </w:pPr>
            <w:r/>
            <w:r>
              <w:rPr>
                <w:rFonts w:ascii="Times New Roman" w:hAnsi="Times New Roman"/>
                <w:b w:val="0"/>
                <w:sz w:val="18"/>
              </w:rPr>
              <w:t>randomizált metaanalízis (fájdalom) [37]</w:t>
            </w:r>
          </w:p>
        </w:tc>
      </w:tr>
      <w:tr>
        <w:tc>
          <w:tcPr>
            <w:tcW w:type="dxa" w:w="1881"/>
          </w:tcPr>
          <w:p>
            <w:pPr>
              <w:spacing w:line="240" w:lineRule="auto"/>
            </w:pPr>
            <w:r/>
            <w:r>
              <w:rPr>
                <w:rFonts w:ascii="Times New Roman" w:hAnsi="Times New Roman"/>
                <w:b/>
                <w:sz w:val="18"/>
              </w:rPr>
              <w:t>Összesen</w:t>
            </w:r>
          </w:p>
        </w:tc>
        <w:tc>
          <w:tcPr>
            <w:tcW w:type="dxa" w:w="1881"/>
          </w:tcPr>
          <w:p>
            <w:pPr>
              <w:spacing w:line="240" w:lineRule="auto"/>
            </w:pPr>
            <w:r/>
            <w:r>
              <w:rPr>
                <w:rFonts w:ascii="Times New Roman" w:hAnsi="Times New Roman"/>
                <w:b/>
                <w:sz w:val="18"/>
              </w:rPr>
              <w:t>1782</w:t>
            </w:r>
          </w:p>
        </w:tc>
        <w:tc>
          <w:tcPr>
            <w:tcW w:type="dxa" w:w="1881"/>
          </w:tcPr>
          <w:p>
            <w:pPr>
              <w:spacing w:line="240" w:lineRule="auto"/>
            </w:pPr>
            <w:r/>
            <w:r>
              <w:rPr>
                <w:rFonts w:ascii="Times New Roman" w:hAnsi="Times New Roman"/>
                <w:b/>
                <w:sz w:val="18"/>
              </w:rPr>
              <w:t>1200</w:t>
            </w:r>
          </w:p>
        </w:tc>
        <w:tc>
          <w:tcPr>
            <w:tcW w:type="dxa" w:w="1881"/>
          </w:tcPr>
          <w:p>
            <w:pPr>
              <w:spacing w:line="240" w:lineRule="auto"/>
            </w:pPr>
            <w:r/>
            <w:r>
              <w:rPr>
                <w:rFonts w:ascii="Times New Roman" w:hAnsi="Times New Roman"/>
                <w:b/>
                <w:sz w:val="18"/>
              </w:rPr>
              <w:t>582</w:t>
            </w:r>
          </w:p>
        </w:tc>
        <w:tc>
          <w:tcPr>
            <w:tcW w:type="dxa" w:w="1881"/>
          </w:tcPr>
          <w:p>
            <w:pPr>
              <w:spacing w:line="240" w:lineRule="auto"/>
            </w:pPr>
            <w:r/>
            <w:r>
              <w:rPr>
                <w:rFonts w:ascii="Times New Roman" w:hAnsi="Times New Roman"/>
                <w:b w:val="0"/>
                <w:sz w:val="18"/>
              </w:rPr>
              <w:t>–</w:t>
            </w:r>
          </w:p>
        </w:tc>
      </w:tr>
    </w:tbl>
    <w:p>
      <w:pPr>
        <w:spacing w:after="80"/>
      </w:pPr>
    </w:p>
    <w:p>
      <w:pPr>
        <w:spacing w:line="240" w:lineRule="auto"/>
      </w:pPr>
      <w:r>
        <w:rPr>
          <w:b w:val="0"/>
          <w:i/>
          <w:sz w:val="18"/>
        </w:rPr>
        <w:t>Megjegyzés: Szemléltető modell 1000 obes leány 14–65 év közötti követésére. Az esemény-gyakoriságok és a kezelési hatás mértéke irodalmi nagyságrendekre támaszkodó feltételezések, nem mért incidenciaértékek. Egy nő több kimenetet is elszenvedhet, ezért az összeg eseményszám, nem személyszám.</w:t>
      </w:r>
    </w:p>
    <w:p>
      <w:r>
        <w:br w:type="page"/>
      </w:r>
    </w:p>
    <w:p>
      <w:pPr>
        <w:spacing w:after="120"/>
      </w:pPr>
      <w:r>
        <w:rPr>
          <w:b/>
          <w:sz w:val="24"/>
        </w:rPr>
        <w:t>3. táblázat. A három életpálya társadalmi költségmérlege (14–65 év, 3%/év diszkontálással, millió Ft/fő)</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pPr>
              <w:spacing w:line="240" w:lineRule="auto"/>
            </w:pPr>
            <w:r/>
            <w:r>
              <w:rPr>
                <w:rFonts w:ascii="Times New Roman" w:hAnsi="Times New Roman"/>
                <w:b/>
                <w:sz w:val="18"/>
              </w:rPr>
              <w:t>Havi gyógyszerár</w:t>
            </w:r>
          </w:p>
        </w:tc>
        <w:tc>
          <w:tcPr>
            <w:tcW w:type="dxa" w:w="1344"/>
          </w:tcPr>
          <w:p>
            <w:pPr>
              <w:spacing w:line="240" w:lineRule="auto"/>
            </w:pPr>
            <w:r/>
            <w:r>
              <w:rPr>
                <w:rFonts w:ascii="Times New Roman" w:hAnsi="Times New Roman"/>
                <w:b/>
                <w:sz w:val="18"/>
              </w:rPr>
              <w:t>A pálya (normál testalkat)</w:t>
            </w:r>
          </w:p>
        </w:tc>
        <w:tc>
          <w:tcPr>
            <w:tcW w:type="dxa" w:w="1344"/>
          </w:tcPr>
          <w:p>
            <w:pPr>
              <w:spacing w:line="240" w:lineRule="auto"/>
            </w:pPr>
            <w:r/>
            <w:r>
              <w:rPr>
                <w:rFonts w:ascii="Times New Roman" w:hAnsi="Times New Roman"/>
                <w:b/>
                <w:sz w:val="18"/>
              </w:rPr>
              <w:t>B pálya (obesitas, kezelés nélkül)</w:t>
            </w:r>
          </w:p>
        </w:tc>
        <w:tc>
          <w:tcPr>
            <w:tcW w:type="dxa" w:w="1344"/>
          </w:tcPr>
          <w:p>
            <w:pPr>
              <w:spacing w:line="240" w:lineRule="auto"/>
            </w:pPr>
            <w:r/>
            <w:r>
              <w:rPr>
                <w:rFonts w:ascii="Times New Roman" w:hAnsi="Times New Roman"/>
                <w:b/>
                <w:sz w:val="18"/>
              </w:rPr>
              <w:t>C pálya (GLP-1RA)</w:t>
            </w:r>
          </w:p>
        </w:tc>
        <w:tc>
          <w:tcPr>
            <w:tcW w:type="dxa" w:w="1344"/>
          </w:tcPr>
          <w:p>
            <w:pPr>
              <w:spacing w:line="240" w:lineRule="auto"/>
            </w:pPr>
            <w:r/>
            <w:r>
              <w:rPr>
                <w:rFonts w:ascii="Times New Roman" w:hAnsi="Times New Roman"/>
                <w:b/>
                <w:sz w:val="18"/>
              </w:rPr>
              <w:t>**Nettó mérleg a B pályához képest**</w:t>
            </w:r>
          </w:p>
        </w:tc>
        <w:tc>
          <w:tcPr>
            <w:tcW w:type="dxa" w:w="1344"/>
          </w:tcPr>
          <w:p>
            <w:pPr>
              <w:spacing w:line="240" w:lineRule="auto"/>
            </w:pPr>
            <w:r/>
            <w:r>
              <w:rPr>
                <w:rFonts w:ascii="Times New Roman" w:hAnsi="Times New Roman"/>
                <w:b/>
                <w:sz w:val="18"/>
              </w:rPr>
              <w:t>Csak közvetlen ellátási költséggel</w:t>
            </w:r>
          </w:p>
        </w:tc>
        <w:tc>
          <w:tcPr>
            <w:tcW w:type="dxa" w:w="1344"/>
          </w:tcPr>
          <w:p>
            <w:pPr>
              <w:spacing w:line="240" w:lineRule="auto"/>
            </w:pPr>
            <w:r/>
            <w:r>
              <w:rPr>
                <w:rFonts w:ascii="Times New Roman" w:hAnsi="Times New Roman"/>
                <w:b/>
                <w:sz w:val="18"/>
              </w:rPr>
              <w:t>A megtakarítás valószínűsége</w:t>
            </w:r>
          </w:p>
        </w:tc>
      </w:tr>
      <w:tr>
        <w:tc>
          <w:tcPr>
            <w:tcW w:type="dxa" w:w="1344"/>
          </w:tcPr>
          <w:p>
            <w:pPr>
              <w:spacing w:line="240" w:lineRule="auto"/>
            </w:pPr>
            <w:r/>
            <w:r>
              <w:rPr>
                <w:rFonts w:ascii="Times New Roman" w:hAnsi="Times New Roman"/>
                <w:b w:val="0"/>
                <w:sz w:val="18"/>
              </w:rPr>
              <w:t>5 000 Ft/hó</w:t>
            </w:r>
          </w:p>
        </w:tc>
        <w:tc>
          <w:tcPr>
            <w:tcW w:type="dxa" w:w="1344"/>
          </w:tcPr>
          <w:p>
            <w:pPr>
              <w:spacing w:line="240" w:lineRule="auto"/>
            </w:pPr>
            <w:r/>
            <w:r>
              <w:rPr>
                <w:rFonts w:ascii="Times New Roman" w:hAnsi="Times New Roman"/>
                <w:b w:val="0"/>
                <w:sz w:val="18"/>
              </w:rPr>
              <w:t>5,3</w:t>
            </w:r>
          </w:p>
        </w:tc>
        <w:tc>
          <w:tcPr>
            <w:tcW w:type="dxa" w:w="1344"/>
          </w:tcPr>
          <w:p>
            <w:pPr>
              <w:spacing w:line="240" w:lineRule="auto"/>
            </w:pPr>
            <w:r/>
            <w:r>
              <w:rPr>
                <w:rFonts w:ascii="Times New Roman" w:hAnsi="Times New Roman"/>
                <w:b w:val="0"/>
                <w:sz w:val="18"/>
              </w:rPr>
              <w:t>17,6</w:t>
            </w:r>
          </w:p>
        </w:tc>
        <w:tc>
          <w:tcPr>
            <w:tcW w:type="dxa" w:w="1344"/>
          </w:tcPr>
          <w:p>
            <w:pPr>
              <w:spacing w:line="240" w:lineRule="auto"/>
            </w:pPr>
            <w:r/>
            <w:r>
              <w:rPr>
                <w:rFonts w:ascii="Times New Roman" w:hAnsi="Times New Roman"/>
                <w:b w:val="0"/>
                <w:sz w:val="18"/>
              </w:rPr>
              <w:t>11,7</w:t>
            </w:r>
          </w:p>
        </w:tc>
        <w:tc>
          <w:tcPr>
            <w:tcW w:type="dxa" w:w="1344"/>
          </w:tcPr>
          <w:p>
            <w:pPr>
              <w:spacing w:line="240" w:lineRule="auto"/>
            </w:pPr>
            <w:r/>
            <w:r>
              <w:rPr>
                <w:rFonts w:ascii="Times New Roman" w:hAnsi="Times New Roman"/>
                <w:b/>
                <w:sz w:val="18"/>
              </w:rPr>
              <w:t>−5,9 (megtakarítás)</w:t>
            </w:r>
          </w:p>
        </w:tc>
        <w:tc>
          <w:tcPr>
            <w:tcW w:type="dxa" w:w="1344"/>
          </w:tcPr>
          <w:p>
            <w:pPr>
              <w:spacing w:line="240" w:lineRule="auto"/>
            </w:pPr>
            <w:r/>
            <w:r>
              <w:rPr>
                <w:rFonts w:ascii="Times New Roman" w:hAnsi="Times New Roman"/>
                <w:b w:val="0"/>
                <w:sz w:val="18"/>
              </w:rPr>
              <w:t>−3,9</w:t>
            </w:r>
          </w:p>
        </w:tc>
        <w:tc>
          <w:tcPr>
            <w:tcW w:type="dxa" w:w="1344"/>
          </w:tcPr>
          <w:p>
            <w:pPr>
              <w:spacing w:line="240" w:lineRule="auto"/>
            </w:pPr>
            <w:r/>
            <w:r>
              <w:rPr>
                <w:rFonts w:ascii="Times New Roman" w:hAnsi="Times New Roman"/>
                <w:b w:val="0"/>
                <w:sz w:val="18"/>
              </w:rPr>
              <w:t>100%</w:t>
            </w:r>
          </w:p>
        </w:tc>
      </w:tr>
      <w:tr>
        <w:tc>
          <w:tcPr>
            <w:tcW w:type="dxa" w:w="1344"/>
          </w:tcPr>
          <w:p>
            <w:pPr>
              <w:spacing w:line="240" w:lineRule="auto"/>
            </w:pPr>
            <w:r/>
            <w:r>
              <w:rPr>
                <w:rFonts w:ascii="Times New Roman" w:hAnsi="Times New Roman"/>
                <w:b w:val="0"/>
                <w:sz w:val="18"/>
              </w:rPr>
              <w:t>15 000 Ft/hó</w:t>
            </w:r>
          </w:p>
        </w:tc>
        <w:tc>
          <w:tcPr>
            <w:tcW w:type="dxa" w:w="1344"/>
          </w:tcPr>
          <w:p>
            <w:pPr>
              <w:spacing w:line="240" w:lineRule="auto"/>
            </w:pPr>
            <w:r/>
            <w:r>
              <w:rPr>
                <w:rFonts w:ascii="Times New Roman" w:hAnsi="Times New Roman"/>
                <w:b w:val="0"/>
                <w:sz w:val="18"/>
              </w:rPr>
              <w:t>5,3</w:t>
            </w:r>
          </w:p>
        </w:tc>
        <w:tc>
          <w:tcPr>
            <w:tcW w:type="dxa" w:w="1344"/>
          </w:tcPr>
          <w:p>
            <w:pPr>
              <w:spacing w:line="240" w:lineRule="auto"/>
            </w:pPr>
            <w:r/>
            <w:r>
              <w:rPr>
                <w:rFonts w:ascii="Times New Roman" w:hAnsi="Times New Roman"/>
                <w:b w:val="0"/>
                <w:sz w:val="18"/>
              </w:rPr>
              <w:t>17,6</w:t>
            </w:r>
          </w:p>
        </w:tc>
        <w:tc>
          <w:tcPr>
            <w:tcW w:type="dxa" w:w="1344"/>
          </w:tcPr>
          <w:p>
            <w:pPr>
              <w:spacing w:line="240" w:lineRule="auto"/>
            </w:pPr>
            <w:r/>
            <w:r>
              <w:rPr>
                <w:rFonts w:ascii="Times New Roman" w:hAnsi="Times New Roman"/>
                <w:b w:val="0"/>
                <w:sz w:val="18"/>
              </w:rPr>
              <w:t>14,9</w:t>
            </w:r>
          </w:p>
        </w:tc>
        <w:tc>
          <w:tcPr>
            <w:tcW w:type="dxa" w:w="1344"/>
          </w:tcPr>
          <w:p>
            <w:pPr>
              <w:spacing w:line="240" w:lineRule="auto"/>
            </w:pPr>
            <w:r/>
            <w:r>
              <w:rPr>
                <w:rFonts w:ascii="Times New Roman" w:hAnsi="Times New Roman"/>
                <w:b/>
                <w:sz w:val="18"/>
              </w:rPr>
              <w:t>−2,7 (megtakarítás)</w:t>
            </w:r>
          </w:p>
        </w:tc>
        <w:tc>
          <w:tcPr>
            <w:tcW w:type="dxa" w:w="1344"/>
          </w:tcPr>
          <w:p>
            <w:pPr>
              <w:spacing w:line="240" w:lineRule="auto"/>
            </w:pPr>
            <w:r/>
            <w:r>
              <w:rPr>
                <w:rFonts w:ascii="Times New Roman" w:hAnsi="Times New Roman"/>
                <w:b w:val="0"/>
                <w:sz w:val="18"/>
              </w:rPr>
              <w:t>−0,6</w:t>
            </w:r>
          </w:p>
        </w:tc>
        <w:tc>
          <w:tcPr>
            <w:tcW w:type="dxa" w:w="1344"/>
          </w:tcPr>
          <w:p>
            <w:pPr>
              <w:spacing w:line="240" w:lineRule="auto"/>
            </w:pPr>
            <w:r/>
            <w:r>
              <w:rPr>
                <w:rFonts w:ascii="Times New Roman" w:hAnsi="Times New Roman"/>
                <w:b w:val="0"/>
                <w:sz w:val="18"/>
              </w:rPr>
              <w:t>94%</w:t>
            </w:r>
          </w:p>
        </w:tc>
      </w:tr>
      <w:tr>
        <w:tc>
          <w:tcPr>
            <w:tcW w:type="dxa" w:w="1344"/>
          </w:tcPr>
          <w:p>
            <w:pPr>
              <w:spacing w:line="240" w:lineRule="auto"/>
            </w:pPr>
            <w:r/>
            <w:r>
              <w:rPr>
                <w:rFonts w:ascii="Times New Roman" w:hAnsi="Times New Roman"/>
                <w:b w:val="0"/>
                <w:sz w:val="18"/>
              </w:rPr>
              <w:t>20 000 Ft/hó (alapeset)</w:t>
            </w:r>
          </w:p>
        </w:tc>
        <w:tc>
          <w:tcPr>
            <w:tcW w:type="dxa" w:w="1344"/>
          </w:tcPr>
          <w:p>
            <w:pPr>
              <w:spacing w:line="240" w:lineRule="auto"/>
            </w:pPr>
            <w:r/>
            <w:r>
              <w:rPr>
                <w:rFonts w:ascii="Times New Roman" w:hAnsi="Times New Roman"/>
                <w:b w:val="0"/>
                <w:sz w:val="18"/>
              </w:rPr>
              <w:t>5,3</w:t>
            </w:r>
          </w:p>
        </w:tc>
        <w:tc>
          <w:tcPr>
            <w:tcW w:type="dxa" w:w="1344"/>
          </w:tcPr>
          <w:p>
            <w:pPr>
              <w:spacing w:line="240" w:lineRule="auto"/>
            </w:pPr>
            <w:r/>
            <w:r>
              <w:rPr>
                <w:rFonts w:ascii="Times New Roman" w:hAnsi="Times New Roman"/>
                <w:b w:val="0"/>
                <w:sz w:val="18"/>
              </w:rPr>
              <w:t>17,6</w:t>
            </w:r>
          </w:p>
        </w:tc>
        <w:tc>
          <w:tcPr>
            <w:tcW w:type="dxa" w:w="1344"/>
          </w:tcPr>
          <w:p>
            <w:pPr>
              <w:spacing w:line="240" w:lineRule="auto"/>
            </w:pPr>
            <w:r/>
            <w:r>
              <w:rPr>
                <w:rFonts w:ascii="Times New Roman" w:hAnsi="Times New Roman"/>
                <w:b w:val="0"/>
                <w:sz w:val="18"/>
              </w:rPr>
              <w:t>16,5</w:t>
            </w:r>
          </w:p>
        </w:tc>
        <w:tc>
          <w:tcPr>
            <w:tcW w:type="dxa" w:w="1344"/>
          </w:tcPr>
          <w:p>
            <w:pPr>
              <w:spacing w:line="240" w:lineRule="auto"/>
            </w:pPr>
            <w:r/>
            <w:r>
              <w:rPr>
                <w:rFonts w:ascii="Times New Roman" w:hAnsi="Times New Roman"/>
                <w:b/>
                <w:sz w:val="18"/>
              </w:rPr>
              <w:t>−1,0 (megtakarítás)</w:t>
            </w:r>
          </w:p>
        </w:tc>
        <w:tc>
          <w:tcPr>
            <w:tcW w:type="dxa" w:w="1344"/>
          </w:tcPr>
          <w:p>
            <w:pPr>
              <w:spacing w:line="240" w:lineRule="auto"/>
            </w:pPr>
            <w:r/>
            <w:r>
              <w:rPr>
                <w:rFonts w:ascii="Times New Roman" w:hAnsi="Times New Roman"/>
                <w:b w:val="0"/>
                <w:sz w:val="18"/>
              </w:rPr>
              <w:t>+1,0</w:t>
            </w:r>
          </w:p>
        </w:tc>
        <w:tc>
          <w:tcPr>
            <w:tcW w:type="dxa" w:w="1344"/>
          </w:tcPr>
          <w:p>
            <w:pPr>
              <w:spacing w:line="240" w:lineRule="auto"/>
            </w:pPr>
            <w:r/>
            <w:r>
              <w:rPr>
                <w:rFonts w:ascii="Times New Roman" w:hAnsi="Times New Roman"/>
                <w:b w:val="0"/>
                <w:sz w:val="18"/>
              </w:rPr>
              <w:t>70%</w:t>
            </w:r>
          </w:p>
        </w:tc>
      </w:tr>
      <w:tr>
        <w:tc>
          <w:tcPr>
            <w:tcW w:type="dxa" w:w="1344"/>
          </w:tcPr>
          <w:p>
            <w:pPr>
              <w:spacing w:line="240" w:lineRule="auto"/>
            </w:pPr>
            <w:r/>
            <w:r>
              <w:rPr>
                <w:rFonts w:ascii="Times New Roman" w:hAnsi="Times New Roman"/>
                <w:b w:val="0"/>
                <w:sz w:val="18"/>
              </w:rPr>
              <w:t>25 000 Ft/hó</w:t>
            </w:r>
          </w:p>
        </w:tc>
        <w:tc>
          <w:tcPr>
            <w:tcW w:type="dxa" w:w="1344"/>
          </w:tcPr>
          <w:p>
            <w:pPr>
              <w:spacing w:line="240" w:lineRule="auto"/>
            </w:pPr>
            <w:r/>
            <w:r>
              <w:rPr>
                <w:rFonts w:ascii="Times New Roman" w:hAnsi="Times New Roman"/>
                <w:b w:val="0"/>
                <w:sz w:val="18"/>
              </w:rPr>
              <w:t>5,3</w:t>
            </w:r>
          </w:p>
        </w:tc>
        <w:tc>
          <w:tcPr>
            <w:tcW w:type="dxa" w:w="1344"/>
          </w:tcPr>
          <w:p>
            <w:pPr>
              <w:spacing w:line="240" w:lineRule="auto"/>
            </w:pPr>
            <w:r/>
            <w:r>
              <w:rPr>
                <w:rFonts w:ascii="Times New Roman" w:hAnsi="Times New Roman"/>
                <w:b w:val="0"/>
                <w:sz w:val="18"/>
              </w:rPr>
              <w:t>17,6</w:t>
            </w:r>
          </w:p>
        </w:tc>
        <w:tc>
          <w:tcPr>
            <w:tcW w:type="dxa" w:w="1344"/>
          </w:tcPr>
          <w:p>
            <w:pPr>
              <w:spacing w:line="240" w:lineRule="auto"/>
            </w:pPr>
            <w:r/>
            <w:r>
              <w:rPr>
                <w:rFonts w:ascii="Times New Roman" w:hAnsi="Times New Roman"/>
                <w:b w:val="0"/>
                <w:sz w:val="18"/>
              </w:rPr>
              <w:t>18,2</w:t>
            </w:r>
          </w:p>
        </w:tc>
        <w:tc>
          <w:tcPr>
            <w:tcW w:type="dxa" w:w="1344"/>
          </w:tcPr>
          <w:p>
            <w:pPr>
              <w:spacing w:line="240" w:lineRule="auto"/>
            </w:pPr>
            <w:r/>
            <w:r>
              <w:rPr>
                <w:rFonts w:ascii="Times New Roman" w:hAnsi="Times New Roman"/>
                <w:b/>
                <w:sz w:val="18"/>
              </w:rPr>
              <w:t>+0,6 (többletköltség)</w:t>
            </w:r>
          </w:p>
        </w:tc>
        <w:tc>
          <w:tcPr>
            <w:tcW w:type="dxa" w:w="1344"/>
          </w:tcPr>
          <w:p>
            <w:pPr>
              <w:spacing w:line="240" w:lineRule="auto"/>
            </w:pPr>
            <w:r/>
            <w:r>
              <w:rPr>
                <w:rFonts w:ascii="Times New Roman" w:hAnsi="Times New Roman"/>
                <w:b w:val="0"/>
                <w:sz w:val="18"/>
              </w:rPr>
              <w:t>+2,6</w:t>
            </w:r>
          </w:p>
        </w:tc>
        <w:tc>
          <w:tcPr>
            <w:tcW w:type="dxa" w:w="1344"/>
          </w:tcPr>
          <w:p>
            <w:pPr>
              <w:spacing w:line="240" w:lineRule="auto"/>
            </w:pPr>
            <w:r/>
            <w:r>
              <w:rPr>
                <w:rFonts w:ascii="Times New Roman" w:hAnsi="Times New Roman"/>
                <w:b w:val="0"/>
                <w:sz w:val="18"/>
              </w:rPr>
              <w:t>38%</w:t>
            </w:r>
          </w:p>
        </w:tc>
      </w:tr>
      <w:tr>
        <w:tc>
          <w:tcPr>
            <w:tcW w:type="dxa" w:w="1344"/>
          </w:tcPr>
          <w:p>
            <w:pPr>
              <w:spacing w:line="240" w:lineRule="auto"/>
            </w:pPr>
            <w:r/>
            <w:r>
              <w:rPr>
                <w:rFonts w:ascii="Times New Roman" w:hAnsi="Times New Roman"/>
                <w:b w:val="0"/>
                <w:sz w:val="18"/>
              </w:rPr>
              <w:t>35 000 Ft/hó</w:t>
            </w:r>
          </w:p>
        </w:tc>
        <w:tc>
          <w:tcPr>
            <w:tcW w:type="dxa" w:w="1344"/>
          </w:tcPr>
          <w:p>
            <w:pPr>
              <w:spacing w:line="240" w:lineRule="auto"/>
            </w:pPr>
            <w:r/>
            <w:r>
              <w:rPr>
                <w:rFonts w:ascii="Times New Roman" w:hAnsi="Times New Roman"/>
                <w:b w:val="0"/>
                <w:sz w:val="18"/>
              </w:rPr>
              <w:t>5,3</w:t>
            </w:r>
          </w:p>
        </w:tc>
        <w:tc>
          <w:tcPr>
            <w:tcW w:type="dxa" w:w="1344"/>
          </w:tcPr>
          <w:p>
            <w:pPr>
              <w:spacing w:line="240" w:lineRule="auto"/>
            </w:pPr>
            <w:r/>
            <w:r>
              <w:rPr>
                <w:rFonts w:ascii="Times New Roman" w:hAnsi="Times New Roman"/>
                <w:b w:val="0"/>
                <w:sz w:val="18"/>
              </w:rPr>
              <w:t>17,6</w:t>
            </w:r>
          </w:p>
        </w:tc>
        <w:tc>
          <w:tcPr>
            <w:tcW w:type="dxa" w:w="1344"/>
          </w:tcPr>
          <w:p>
            <w:pPr>
              <w:spacing w:line="240" w:lineRule="auto"/>
            </w:pPr>
            <w:r/>
            <w:r>
              <w:rPr>
                <w:rFonts w:ascii="Times New Roman" w:hAnsi="Times New Roman"/>
                <w:b w:val="0"/>
                <w:sz w:val="18"/>
              </w:rPr>
              <w:t>21,4</w:t>
            </w:r>
          </w:p>
        </w:tc>
        <w:tc>
          <w:tcPr>
            <w:tcW w:type="dxa" w:w="1344"/>
          </w:tcPr>
          <w:p>
            <w:pPr>
              <w:spacing w:line="240" w:lineRule="auto"/>
            </w:pPr>
            <w:r/>
            <w:r>
              <w:rPr>
                <w:rFonts w:ascii="Times New Roman" w:hAnsi="Times New Roman"/>
                <w:b/>
                <w:sz w:val="18"/>
              </w:rPr>
              <w:t>+3,8 (többletköltség)</w:t>
            </w:r>
          </w:p>
        </w:tc>
        <w:tc>
          <w:tcPr>
            <w:tcW w:type="dxa" w:w="1344"/>
          </w:tcPr>
          <w:p>
            <w:pPr>
              <w:spacing w:line="240" w:lineRule="auto"/>
            </w:pPr>
            <w:r/>
            <w:r>
              <w:rPr>
                <w:rFonts w:ascii="Times New Roman" w:hAnsi="Times New Roman"/>
                <w:b w:val="0"/>
                <w:sz w:val="18"/>
              </w:rPr>
              <w:t>+5,9</w:t>
            </w:r>
          </w:p>
        </w:tc>
        <w:tc>
          <w:tcPr>
            <w:tcW w:type="dxa" w:w="1344"/>
          </w:tcPr>
          <w:p>
            <w:pPr>
              <w:spacing w:line="240" w:lineRule="auto"/>
            </w:pPr>
            <w:r/>
            <w:r>
              <w:rPr>
                <w:rFonts w:ascii="Times New Roman" w:hAnsi="Times New Roman"/>
                <w:b w:val="0"/>
                <w:sz w:val="18"/>
              </w:rPr>
              <w:t>4%</w:t>
            </w:r>
          </w:p>
        </w:tc>
      </w:tr>
      <w:tr>
        <w:tc>
          <w:tcPr>
            <w:tcW w:type="dxa" w:w="1344"/>
          </w:tcPr>
          <w:p>
            <w:pPr>
              <w:spacing w:line="240" w:lineRule="auto"/>
            </w:pPr>
            <w:r/>
            <w:r>
              <w:rPr>
                <w:rFonts w:ascii="Times New Roman" w:hAnsi="Times New Roman"/>
                <w:b/>
                <w:sz w:val="18"/>
              </w:rPr>
              <w:t>Költségsemleges küszöbár</w:t>
            </w:r>
          </w:p>
        </w:tc>
        <w:tc>
          <w:tcPr>
            <w:tcW w:type="dxa" w:w="1344"/>
          </w:tcPr>
          <w:p>
            <w:pPr>
              <w:spacing w:line="240" w:lineRule="auto"/>
            </w:pPr>
            <w:r/>
            <w:r>
              <w:rPr>
                <w:rFonts w:ascii="Times New Roman" w:hAnsi="Times New Roman"/>
                <w:b w:val="0"/>
                <w:sz w:val="18"/>
              </w:rPr>
              <w:t>–</w:t>
            </w:r>
          </w:p>
        </w:tc>
        <w:tc>
          <w:tcPr>
            <w:tcW w:type="dxa" w:w="1344"/>
          </w:tcPr>
          <w:p>
            <w:pPr>
              <w:spacing w:line="240" w:lineRule="auto"/>
            </w:pPr>
            <w:r/>
            <w:r>
              <w:rPr>
                <w:rFonts w:ascii="Times New Roman" w:hAnsi="Times New Roman"/>
                <w:b w:val="0"/>
                <w:sz w:val="18"/>
              </w:rPr>
              <w:t>–</w:t>
            </w:r>
          </w:p>
        </w:tc>
        <w:tc>
          <w:tcPr>
            <w:tcW w:type="dxa" w:w="1344"/>
          </w:tcPr>
          <w:p>
            <w:pPr>
              <w:spacing w:line="240" w:lineRule="auto"/>
            </w:pPr>
            <w:r/>
            <w:r>
              <w:rPr>
                <w:rFonts w:ascii="Times New Roman" w:hAnsi="Times New Roman"/>
                <w:b w:val="0"/>
                <w:sz w:val="18"/>
              </w:rPr>
              <w:t>–</w:t>
            </w:r>
          </w:p>
        </w:tc>
        <w:tc>
          <w:tcPr>
            <w:tcW w:type="dxa" w:w="1344"/>
          </w:tcPr>
          <w:p>
            <w:pPr>
              <w:spacing w:line="240" w:lineRule="auto"/>
            </w:pPr>
            <w:r/>
            <w:r>
              <w:rPr>
                <w:rFonts w:ascii="Times New Roman" w:hAnsi="Times New Roman"/>
                <w:b/>
                <w:sz w:val="18"/>
              </w:rPr>
              <w:t>≈ 23 000 Ft/hó</w:t>
            </w:r>
          </w:p>
        </w:tc>
        <w:tc>
          <w:tcPr>
            <w:tcW w:type="dxa" w:w="1344"/>
          </w:tcPr>
          <w:p>
            <w:pPr>
              <w:spacing w:line="240" w:lineRule="auto"/>
            </w:pPr>
            <w:r/>
            <w:r>
              <w:rPr>
                <w:rFonts w:ascii="Times New Roman" w:hAnsi="Times New Roman"/>
                <w:b w:val="0"/>
                <w:sz w:val="18"/>
              </w:rPr>
              <w:t>≈ 17 000 Ft/hó</w:t>
            </w:r>
          </w:p>
        </w:tc>
        <w:tc>
          <w:tcPr>
            <w:tcW w:type="dxa" w:w="1344"/>
          </w:tcPr>
          <w:p>
            <w:pPr>
              <w:spacing w:line="240" w:lineRule="auto"/>
            </w:pPr>
            <w:r/>
            <w:r>
              <w:rPr>
                <w:rFonts w:ascii="Times New Roman" w:hAnsi="Times New Roman"/>
                <w:b w:val="0"/>
                <w:sz w:val="18"/>
              </w:rPr>
              <w:t>50%: ≈ 23 200 Ft/hó</w:t>
            </w:r>
          </w:p>
        </w:tc>
      </w:tr>
    </w:tbl>
    <w:p>
      <w:pPr>
        <w:spacing w:after="80"/>
      </w:pPr>
    </w:p>
    <w:p>
      <w:pPr>
        <w:spacing w:line="240" w:lineRule="auto"/>
      </w:pPr>
      <w:r>
        <w:rPr>
          <w:b w:val="0"/>
          <w:i/>
          <w:sz w:val="18"/>
        </w:rPr>
        <w:t>Egyirányú érzékenységi elemzés (nettó mérleg, millió Ft/fő; negatív = megtakarítás):</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line="240" w:lineRule="auto"/>
            </w:pPr>
            <w:r/>
            <w:r>
              <w:rPr>
                <w:rFonts w:ascii="Times New Roman" w:hAnsi="Times New Roman"/>
                <w:b/>
                <w:sz w:val="18"/>
              </w:rPr>
              <w:t>Paraméter</w:t>
            </w:r>
          </w:p>
        </w:tc>
        <w:tc>
          <w:tcPr>
            <w:tcW w:type="dxa" w:w="3135"/>
          </w:tcPr>
          <w:p>
            <w:pPr>
              <w:spacing w:line="240" w:lineRule="auto"/>
            </w:pPr>
            <w:r/>
            <w:r>
              <w:rPr>
                <w:rFonts w:ascii="Times New Roman" w:hAnsi="Times New Roman"/>
                <w:b/>
                <w:sz w:val="18"/>
              </w:rPr>
              <w:t>Tartomány</w:t>
            </w:r>
          </w:p>
        </w:tc>
        <w:tc>
          <w:tcPr>
            <w:tcW w:type="dxa" w:w="3135"/>
          </w:tcPr>
          <w:p>
            <w:pPr>
              <w:spacing w:line="240" w:lineRule="auto"/>
            </w:pPr>
            <w:r/>
            <w:r>
              <w:rPr>
                <w:rFonts w:ascii="Times New Roman" w:hAnsi="Times New Roman"/>
                <w:b/>
                <w:sz w:val="18"/>
              </w:rPr>
              <w:t>Nettó mérleg</w:t>
            </w:r>
          </w:p>
        </w:tc>
      </w:tr>
      <w:tr>
        <w:tc>
          <w:tcPr>
            <w:tcW w:type="dxa" w:w="3135"/>
          </w:tcPr>
          <w:p>
            <w:pPr>
              <w:spacing w:line="240" w:lineRule="auto"/>
            </w:pPr>
            <w:r/>
            <w:r>
              <w:rPr>
                <w:rFonts w:ascii="Times New Roman" w:hAnsi="Times New Roman"/>
                <w:b w:val="0"/>
                <w:sz w:val="18"/>
              </w:rPr>
              <w:t>Havi gyógyszerár</w:t>
            </w:r>
          </w:p>
        </w:tc>
        <w:tc>
          <w:tcPr>
            <w:tcW w:type="dxa" w:w="3135"/>
          </w:tcPr>
          <w:p>
            <w:pPr>
              <w:spacing w:line="240" w:lineRule="auto"/>
            </w:pPr>
            <w:r/>
            <w:r>
              <w:rPr>
                <w:rFonts w:ascii="Times New Roman" w:hAnsi="Times New Roman"/>
                <w:b w:val="0"/>
                <w:sz w:val="18"/>
              </w:rPr>
              <w:t>5 000–35 000 Ft</w:t>
            </w:r>
          </w:p>
        </w:tc>
        <w:tc>
          <w:tcPr>
            <w:tcW w:type="dxa" w:w="3135"/>
          </w:tcPr>
          <w:p>
            <w:pPr>
              <w:spacing w:line="240" w:lineRule="auto"/>
            </w:pPr>
            <w:r/>
            <w:r>
              <w:rPr>
                <w:rFonts w:ascii="Times New Roman" w:hAnsi="Times New Roman"/>
                <w:b w:val="0"/>
                <w:sz w:val="18"/>
              </w:rPr>
              <w:t>−5,9 … +3,8</w:t>
            </w:r>
          </w:p>
        </w:tc>
      </w:tr>
      <w:tr>
        <w:tc>
          <w:tcPr>
            <w:tcW w:type="dxa" w:w="3135"/>
          </w:tcPr>
          <w:p>
            <w:pPr>
              <w:spacing w:line="240" w:lineRule="auto"/>
            </w:pPr>
            <w:r/>
            <w:r>
              <w:rPr>
                <w:rFonts w:ascii="Times New Roman" w:hAnsi="Times New Roman"/>
                <w:b w:val="0"/>
                <w:sz w:val="18"/>
              </w:rPr>
              <w:t>Testsúlymediált hatás</w:t>
            </w:r>
          </w:p>
        </w:tc>
        <w:tc>
          <w:tcPr>
            <w:tcW w:type="dxa" w:w="3135"/>
          </w:tcPr>
          <w:p>
            <w:pPr>
              <w:spacing w:line="240" w:lineRule="auto"/>
            </w:pPr>
            <w:r/>
            <w:r>
              <w:rPr>
                <w:rFonts w:ascii="Times New Roman" w:hAnsi="Times New Roman"/>
                <w:b w:val="0"/>
                <w:sz w:val="18"/>
              </w:rPr>
              <w:t>40–80%</w:t>
            </w:r>
          </w:p>
        </w:tc>
        <w:tc>
          <w:tcPr>
            <w:tcW w:type="dxa" w:w="3135"/>
          </w:tcPr>
          <w:p>
            <w:pPr>
              <w:spacing w:line="240" w:lineRule="auto"/>
            </w:pPr>
            <w:r/>
            <w:r>
              <w:rPr>
                <w:rFonts w:ascii="Times New Roman" w:hAnsi="Times New Roman"/>
                <w:b w:val="0"/>
                <w:sz w:val="18"/>
              </w:rPr>
              <w:t>−3,4 … +1,3</w:t>
            </w:r>
          </w:p>
        </w:tc>
      </w:tr>
      <w:tr>
        <w:tc>
          <w:tcPr>
            <w:tcW w:type="dxa" w:w="3135"/>
          </w:tcPr>
          <w:p>
            <w:pPr>
              <w:spacing w:line="240" w:lineRule="auto"/>
            </w:pPr>
            <w:r/>
            <w:r>
              <w:rPr>
                <w:rFonts w:ascii="Times New Roman" w:hAnsi="Times New Roman"/>
                <w:b w:val="0"/>
                <w:sz w:val="18"/>
              </w:rPr>
              <w:t>Fogyásfüggetlen hatás</w:t>
            </w:r>
          </w:p>
        </w:tc>
        <w:tc>
          <w:tcPr>
            <w:tcW w:type="dxa" w:w="3135"/>
          </w:tcPr>
          <w:p>
            <w:pPr>
              <w:spacing w:line="240" w:lineRule="auto"/>
            </w:pPr>
            <w:r/>
            <w:r>
              <w:rPr>
                <w:rFonts w:ascii="Times New Roman" w:hAnsi="Times New Roman"/>
                <w:b w:val="0"/>
                <w:sz w:val="18"/>
              </w:rPr>
              <w:t>0–30%</w:t>
            </w:r>
          </w:p>
        </w:tc>
        <w:tc>
          <w:tcPr>
            <w:tcW w:type="dxa" w:w="3135"/>
          </w:tcPr>
          <w:p>
            <w:pPr>
              <w:spacing w:line="240" w:lineRule="auto"/>
            </w:pPr>
            <w:r/>
            <w:r>
              <w:rPr>
                <w:rFonts w:ascii="Times New Roman" w:hAnsi="Times New Roman"/>
                <w:b w:val="0"/>
                <w:sz w:val="18"/>
              </w:rPr>
              <w:t>−1,2 … −0,9</w:t>
            </w:r>
          </w:p>
        </w:tc>
      </w:tr>
      <w:tr>
        <w:tc>
          <w:tcPr>
            <w:tcW w:type="dxa" w:w="3135"/>
          </w:tcPr>
          <w:p>
            <w:pPr>
              <w:spacing w:line="240" w:lineRule="auto"/>
            </w:pPr>
            <w:r/>
            <w:r>
              <w:rPr>
                <w:rFonts w:ascii="Times New Roman" w:hAnsi="Times New Roman"/>
                <w:b w:val="0"/>
                <w:sz w:val="18"/>
              </w:rPr>
              <w:t>Adherencia</w:t>
            </w:r>
          </w:p>
        </w:tc>
        <w:tc>
          <w:tcPr>
            <w:tcW w:type="dxa" w:w="3135"/>
          </w:tcPr>
          <w:p>
            <w:pPr>
              <w:spacing w:line="240" w:lineRule="auto"/>
            </w:pPr>
            <w:r/>
            <w:r>
              <w:rPr>
                <w:rFonts w:ascii="Times New Roman" w:hAnsi="Times New Roman"/>
                <w:b w:val="0"/>
                <w:sz w:val="18"/>
              </w:rPr>
              <w:t>50–100%</w:t>
            </w:r>
          </w:p>
        </w:tc>
        <w:tc>
          <w:tcPr>
            <w:tcW w:type="dxa" w:w="3135"/>
          </w:tcPr>
          <w:p>
            <w:pPr>
              <w:spacing w:line="240" w:lineRule="auto"/>
            </w:pPr>
            <w:r/>
            <w:r>
              <w:rPr>
                <w:rFonts w:ascii="Times New Roman" w:hAnsi="Times New Roman"/>
                <w:b w:val="0"/>
                <w:sz w:val="18"/>
              </w:rPr>
              <w:t>−0,6 … −1,0</w:t>
            </w:r>
          </w:p>
        </w:tc>
      </w:tr>
      <w:tr>
        <w:tc>
          <w:tcPr>
            <w:tcW w:type="dxa" w:w="3135"/>
          </w:tcPr>
          <w:p>
            <w:pPr>
              <w:spacing w:line="240" w:lineRule="auto"/>
            </w:pPr>
            <w:r/>
            <w:r>
              <w:rPr>
                <w:rFonts w:ascii="Times New Roman" w:hAnsi="Times New Roman"/>
                <w:b w:val="0"/>
                <w:sz w:val="18"/>
              </w:rPr>
              <w:t>Indirekt költségek</w:t>
            </w:r>
          </w:p>
        </w:tc>
        <w:tc>
          <w:tcPr>
            <w:tcW w:type="dxa" w:w="3135"/>
          </w:tcPr>
          <w:p>
            <w:pPr>
              <w:spacing w:line="240" w:lineRule="auto"/>
            </w:pPr>
            <w:r/>
            <w:r>
              <w:rPr>
                <w:rFonts w:ascii="Times New Roman" w:hAnsi="Times New Roman"/>
                <w:b w:val="0"/>
                <w:sz w:val="18"/>
              </w:rPr>
              <w:t>beszámítva / kihagyva</w:t>
            </w:r>
          </w:p>
        </w:tc>
        <w:tc>
          <w:tcPr>
            <w:tcW w:type="dxa" w:w="3135"/>
          </w:tcPr>
          <w:p>
            <w:pPr>
              <w:spacing w:line="240" w:lineRule="auto"/>
            </w:pPr>
            <w:r/>
            <w:r>
              <w:rPr>
                <w:rFonts w:ascii="Times New Roman" w:hAnsi="Times New Roman"/>
                <w:b w:val="0"/>
                <w:sz w:val="18"/>
              </w:rPr>
              <w:t>−1,0 … +1,0</w:t>
            </w:r>
          </w:p>
        </w:tc>
      </w:tr>
      <w:tr>
        <w:tc>
          <w:tcPr>
            <w:tcW w:type="dxa" w:w="3135"/>
          </w:tcPr>
          <w:p>
            <w:pPr>
              <w:spacing w:line="240" w:lineRule="auto"/>
            </w:pPr>
            <w:r/>
            <w:r>
              <w:rPr>
                <w:rFonts w:ascii="Times New Roman" w:hAnsi="Times New Roman"/>
                <w:b w:val="0"/>
                <w:sz w:val="18"/>
              </w:rPr>
              <w:t>Diszkontráta</w:t>
            </w:r>
          </w:p>
        </w:tc>
        <w:tc>
          <w:tcPr>
            <w:tcW w:type="dxa" w:w="3135"/>
          </w:tcPr>
          <w:p>
            <w:pPr>
              <w:spacing w:line="240" w:lineRule="auto"/>
            </w:pPr>
            <w:r/>
            <w:r>
              <w:rPr>
                <w:rFonts w:ascii="Times New Roman" w:hAnsi="Times New Roman"/>
                <w:b w:val="0"/>
                <w:sz w:val="18"/>
              </w:rPr>
              <w:t>0–5%</w:t>
            </w:r>
          </w:p>
        </w:tc>
        <w:tc>
          <w:tcPr>
            <w:tcW w:type="dxa" w:w="3135"/>
          </w:tcPr>
          <w:p>
            <w:pPr>
              <w:spacing w:line="240" w:lineRule="auto"/>
            </w:pPr>
            <w:r/>
            <w:r>
              <w:rPr>
                <w:rFonts w:ascii="Times New Roman" w:hAnsi="Times New Roman"/>
                <w:b w:val="0"/>
                <w:sz w:val="18"/>
              </w:rPr>
              <w:t>−7,1 … +0,3</w:t>
            </w:r>
          </w:p>
        </w:tc>
      </w:tr>
    </w:tbl>
    <w:p>
      <w:pPr>
        <w:spacing w:after="80"/>
      </w:pPr>
    </w:p>
    <w:p>
      <w:pPr>
        <w:spacing w:line="240" w:lineRule="auto"/>
      </w:pPr>
      <w:r>
        <w:rPr>
          <w:b w:val="0"/>
          <w:i/>
          <w:sz w:val="18"/>
        </w:rPr>
        <w:t>Modell-feltételezések: belépés 14 éves korban, követés 65 éves korig, 3%-os éves diszkontálás, 2025-ös magyar árszinten, társadalmi perspektíva. Költségtételek: (1) közvetlen ellátás; (2) munkahelyi távollétek – a többlet-betegnapok 30 000 Ft/munkanap társadalmi értéken, 18 éves kortól; (3) reprodukciós veszteség – többlet asszisztált reprodukciós ciklusok (1,5 millió Ft/ciklus, 1,8 ciklus, a nők 21%-ánál) és gestatiós diabetesszel szövődött terhességek (0,6 millió Ft, 18%) a 25–40 éves sávban. Az alapesetben a kezelés a testsúlymediált többletkockázat 60%-át hárítja el, ehhez járul a kardiometabolikus hányadra ható, fogyástól független további 15%-os csökkenés [52, 53, 51], 100%-os adherencia mellett. A valószínűségi érzékenységi elemzés 4000 Monte Carlo-futtatás. Referenciaérték: a gyermekkori túlsúly és elhízás évi 237,55 USD/fő többletkiadást okoz [54]; a serdülőkori szemaglutid amerikai listaáron számolt inkrementális költséghatékonysági hányadosa 1 079 480 USD/QALY [30]. QALY-alapú értékelést nem végeztünk; a táblázat szemléltető modelleredmény, finanszírozási döntés megalapozására önmagában nem alkalmas.</w:t>
      </w:r>
    </w:p>
    <w:p>
      <w:r>
        <w:br w:type="page"/>
      </w:r>
    </w:p>
    <w:p>
      <w:pPr>
        <w:spacing w:after="120"/>
      </w:pPr>
      <w:r>
        <w:rPr>
          <w:b/>
          <w:sz w:val="24"/>
        </w:rPr>
        <w:t>4. táblázat. A fiatalkori inkretin-kezelés gondozási és mérési minimuma</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line="240" w:lineRule="auto"/>
            </w:pPr>
            <w:r/>
            <w:r>
              <w:rPr>
                <w:rFonts w:ascii="Times New Roman" w:hAnsi="Times New Roman"/>
                <w:b/>
                <w:sz w:val="18"/>
              </w:rPr>
              <w:t>Domén</w:t>
            </w:r>
          </w:p>
        </w:tc>
        <w:tc>
          <w:tcPr>
            <w:tcW w:type="dxa" w:w="1881"/>
          </w:tcPr>
          <w:p>
            <w:pPr>
              <w:spacing w:line="240" w:lineRule="auto"/>
            </w:pPr>
            <w:r/>
            <w:r>
              <w:rPr>
                <w:rFonts w:ascii="Times New Roman" w:hAnsi="Times New Roman"/>
                <w:b/>
                <w:sz w:val="18"/>
              </w:rPr>
              <w:t>Mit kell mérni</w:t>
            </w:r>
          </w:p>
        </w:tc>
        <w:tc>
          <w:tcPr>
            <w:tcW w:type="dxa" w:w="1881"/>
          </w:tcPr>
          <w:p>
            <w:pPr>
              <w:spacing w:line="240" w:lineRule="auto"/>
            </w:pPr>
            <w:r/>
            <w:r>
              <w:rPr>
                <w:rFonts w:ascii="Times New Roman" w:hAnsi="Times New Roman"/>
                <w:b/>
                <w:sz w:val="18"/>
              </w:rPr>
              <w:t>Mivel</w:t>
            </w:r>
          </w:p>
        </w:tc>
        <w:tc>
          <w:tcPr>
            <w:tcW w:type="dxa" w:w="1881"/>
          </w:tcPr>
          <w:p>
            <w:pPr>
              <w:spacing w:line="240" w:lineRule="auto"/>
            </w:pPr>
            <w:r/>
            <w:r>
              <w:rPr>
                <w:rFonts w:ascii="Times New Roman" w:hAnsi="Times New Roman"/>
                <w:b/>
                <w:sz w:val="18"/>
              </w:rPr>
              <w:t>Mikor</w:t>
            </w:r>
          </w:p>
        </w:tc>
        <w:tc>
          <w:tcPr>
            <w:tcW w:type="dxa" w:w="1881"/>
          </w:tcPr>
          <w:p>
            <w:pPr>
              <w:spacing w:line="240" w:lineRule="auto"/>
            </w:pPr>
            <w:r/>
            <w:r>
              <w:rPr>
                <w:rFonts w:ascii="Times New Roman" w:hAnsi="Times New Roman"/>
                <w:b/>
                <w:sz w:val="18"/>
              </w:rPr>
              <w:t>Miért</w:t>
            </w:r>
          </w:p>
        </w:tc>
      </w:tr>
      <w:tr>
        <w:tc>
          <w:tcPr>
            <w:tcW w:type="dxa" w:w="1881"/>
          </w:tcPr>
          <w:p>
            <w:pPr>
              <w:spacing w:line="240" w:lineRule="auto"/>
            </w:pPr>
            <w:r/>
            <w:r>
              <w:rPr>
                <w:rFonts w:ascii="Times New Roman" w:hAnsi="Times New Roman"/>
                <w:b w:val="0"/>
                <w:sz w:val="18"/>
              </w:rPr>
              <w:t>Növekedés</w:t>
            </w:r>
          </w:p>
        </w:tc>
        <w:tc>
          <w:tcPr>
            <w:tcW w:type="dxa" w:w="1881"/>
          </w:tcPr>
          <w:p>
            <w:pPr>
              <w:spacing w:line="240" w:lineRule="auto"/>
            </w:pPr>
            <w:r/>
            <w:r>
              <w:rPr>
                <w:rFonts w:ascii="Times New Roman" w:hAnsi="Times New Roman"/>
                <w:b w:val="0"/>
                <w:sz w:val="18"/>
              </w:rPr>
              <w:t>testmagasság, növekedési sebesség (cm/év), magasság-SDS</w:t>
            </w:r>
          </w:p>
        </w:tc>
        <w:tc>
          <w:tcPr>
            <w:tcW w:type="dxa" w:w="1881"/>
          </w:tcPr>
          <w:p>
            <w:pPr>
              <w:spacing w:line="240" w:lineRule="auto"/>
            </w:pPr>
            <w:r/>
            <w:r>
              <w:rPr>
                <w:rFonts w:ascii="Times New Roman" w:hAnsi="Times New Roman"/>
                <w:b w:val="0"/>
                <w:sz w:val="18"/>
              </w:rPr>
              <w:t>standardizált stadiométer</w:t>
            </w:r>
          </w:p>
        </w:tc>
        <w:tc>
          <w:tcPr>
            <w:tcW w:type="dxa" w:w="1881"/>
          </w:tcPr>
          <w:p>
            <w:pPr>
              <w:spacing w:line="240" w:lineRule="auto"/>
            </w:pPr>
            <w:r/>
            <w:r>
              <w:rPr>
                <w:rFonts w:ascii="Times New Roman" w:hAnsi="Times New Roman"/>
                <w:b w:val="0"/>
                <w:sz w:val="18"/>
              </w:rPr>
              <w:t>indításkor, majd félévente</w:t>
            </w:r>
          </w:p>
        </w:tc>
        <w:tc>
          <w:tcPr>
            <w:tcW w:type="dxa" w:w="1881"/>
          </w:tcPr>
          <w:p>
            <w:pPr>
              <w:spacing w:line="240" w:lineRule="auto"/>
            </w:pPr>
            <w:r/>
            <w:r>
              <w:rPr>
                <w:rFonts w:ascii="Times New Roman" w:hAnsi="Times New Roman"/>
                <w:b w:val="0"/>
                <w:sz w:val="18"/>
              </w:rPr>
              <w:t>a kezelés a növekedési fázisba nyúlik; a BMI-SDS csökkenése magasságnövekedésből is származhat</w:t>
            </w:r>
          </w:p>
        </w:tc>
      </w:tr>
      <w:tr>
        <w:tc>
          <w:tcPr>
            <w:tcW w:type="dxa" w:w="1881"/>
          </w:tcPr>
          <w:p>
            <w:pPr>
              <w:spacing w:line="240" w:lineRule="auto"/>
            </w:pPr>
            <w:r/>
            <w:r>
              <w:rPr>
                <w:rFonts w:ascii="Times New Roman" w:hAnsi="Times New Roman"/>
                <w:b w:val="0"/>
                <w:sz w:val="18"/>
              </w:rPr>
              <w:t>Csontérés</w:t>
            </w:r>
          </w:p>
        </w:tc>
        <w:tc>
          <w:tcPr>
            <w:tcW w:type="dxa" w:w="1881"/>
          </w:tcPr>
          <w:p>
            <w:pPr>
              <w:spacing w:line="240" w:lineRule="auto"/>
            </w:pPr>
            <w:r/>
            <w:r>
              <w:rPr>
                <w:rFonts w:ascii="Times New Roman" w:hAnsi="Times New Roman"/>
                <w:b w:val="0"/>
                <w:sz w:val="18"/>
              </w:rPr>
              <w:t>csontkor, predikált végleges testmagasság</w:t>
            </w:r>
          </w:p>
        </w:tc>
        <w:tc>
          <w:tcPr>
            <w:tcW w:type="dxa" w:w="1881"/>
          </w:tcPr>
          <w:p>
            <w:pPr>
              <w:spacing w:line="240" w:lineRule="auto"/>
            </w:pPr>
            <w:r/>
            <w:r>
              <w:rPr>
                <w:rFonts w:ascii="Times New Roman" w:hAnsi="Times New Roman"/>
                <w:b w:val="0"/>
                <w:sz w:val="18"/>
              </w:rPr>
              <w:t>Greulich–Pyle vagy TW3</w:t>
            </w:r>
          </w:p>
        </w:tc>
        <w:tc>
          <w:tcPr>
            <w:tcW w:type="dxa" w:w="1881"/>
          </w:tcPr>
          <w:p>
            <w:pPr>
              <w:spacing w:line="240" w:lineRule="auto"/>
            </w:pPr>
            <w:r/>
            <w:r>
              <w:rPr>
                <w:rFonts w:ascii="Times New Roman" w:hAnsi="Times New Roman"/>
                <w:b w:val="0"/>
                <w:sz w:val="18"/>
              </w:rPr>
              <w:t>indításkor, majd 12 havonta</w:t>
            </w:r>
          </w:p>
        </w:tc>
        <w:tc>
          <w:tcPr>
            <w:tcW w:type="dxa" w:w="1881"/>
          </w:tcPr>
          <w:p>
            <w:pPr>
              <w:spacing w:line="240" w:lineRule="auto"/>
            </w:pPr>
            <w:r/>
            <w:r>
              <w:rPr>
                <w:rFonts w:ascii="Times New Roman" w:hAnsi="Times New Roman"/>
                <w:b w:val="0"/>
                <w:sz w:val="18"/>
              </w:rPr>
              <w:t>8–14 éves sávban az érés időzítése a fő tét</w:t>
            </w:r>
          </w:p>
        </w:tc>
      </w:tr>
      <w:tr>
        <w:tc>
          <w:tcPr>
            <w:tcW w:type="dxa" w:w="1881"/>
          </w:tcPr>
          <w:p>
            <w:pPr>
              <w:spacing w:line="240" w:lineRule="auto"/>
            </w:pPr>
            <w:r/>
            <w:r>
              <w:rPr>
                <w:rFonts w:ascii="Times New Roman" w:hAnsi="Times New Roman"/>
                <w:b w:val="0"/>
                <w:sz w:val="18"/>
              </w:rPr>
              <w:t>Pubertás</w:t>
            </w:r>
          </w:p>
        </w:tc>
        <w:tc>
          <w:tcPr>
            <w:tcW w:type="dxa" w:w="1881"/>
          </w:tcPr>
          <w:p>
            <w:pPr>
              <w:spacing w:line="240" w:lineRule="auto"/>
            </w:pPr>
            <w:r/>
            <w:r>
              <w:rPr>
                <w:rFonts w:ascii="Times New Roman" w:hAnsi="Times New Roman"/>
                <w:b w:val="0"/>
                <w:sz w:val="18"/>
              </w:rPr>
              <w:t>Tanner-stádium, ciklusnapló</w:t>
            </w:r>
          </w:p>
        </w:tc>
        <w:tc>
          <w:tcPr>
            <w:tcW w:type="dxa" w:w="1881"/>
          </w:tcPr>
          <w:p>
            <w:pPr>
              <w:spacing w:line="240" w:lineRule="auto"/>
            </w:pPr>
            <w:r/>
            <w:r>
              <w:rPr>
                <w:rFonts w:ascii="Times New Roman" w:hAnsi="Times New Roman"/>
                <w:b w:val="0"/>
                <w:sz w:val="18"/>
              </w:rPr>
              <w:t>fizikális vizsgálat</w:t>
            </w:r>
          </w:p>
        </w:tc>
        <w:tc>
          <w:tcPr>
            <w:tcW w:type="dxa" w:w="1881"/>
          </w:tcPr>
          <w:p>
            <w:pPr>
              <w:spacing w:line="240" w:lineRule="auto"/>
            </w:pPr>
            <w:r/>
            <w:r>
              <w:rPr>
                <w:rFonts w:ascii="Times New Roman" w:hAnsi="Times New Roman"/>
                <w:b w:val="0"/>
                <w:sz w:val="18"/>
              </w:rPr>
              <w:t>első évben 3 havonta, utána félévente</w:t>
            </w:r>
          </w:p>
        </w:tc>
        <w:tc>
          <w:tcPr>
            <w:tcW w:type="dxa" w:w="1881"/>
          </w:tcPr>
          <w:p>
            <w:pPr>
              <w:spacing w:line="240" w:lineRule="auto"/>
            </w:pPr>
            <w:r/>
            <w:r>
              <w:rPr>
                <w:rFonts w:ascii="Times New Roman" w:hAnsi="Times New Roman"/>
                <w:b w:val="0"/>
                <w:sz w:val="18"/>
              </w:rPr>
              <w:t>a leptinmediált hatás a pubertást késleltetheti [33]</w:t>
            </w:r>
          </w:p>
        </w:tc>
      </w:tr>
      <w:tr>
        <w:tc>
          <w:tcPr>
            <w:tcW w:type="dxa" w:w="1881"/>
          </w:tcPr>
          <w:p>
            <w:pPr>
              <w:spacing w:line="240" w:lineRule="auto"/>
            </w:pPr>
            <w:r/>
            <w:r>
              <w:rPr>
                <w:rFonts w:ascii="Times New Roman" w:hAnsi="Times New Roman"/>
                <w:b w:val="0"/>
                <w:sz w:val="18"/>
              </w:rPr>
              <w:t>Vérnyomás</w:t>
            </w:r>
          </w:p>
        </w:tc>
        <w:tc>
          <w:tcPr>
            <w:tcW w:type="dxa" w:w="1881"/>
          </w:tcPr>
          <w:p>
            <w:pPr>
              <w:spacing w:line="240" w:lineRule="auto"/>
            </w:pPr>
            <w:r/>
            <w:r>
              <w:rPr>
                <w:rFonts w:ascii="Times New Roman" w:hAnsi="Times New Roman"/>
                <w:b w:val="0"/>
                <w:sz w:val="18"/>
              </w:rPr>
              <w:t>vérnyomás életkorra és testmagasságra vetítve</w:t>
            </w:r>
          </w:p>
        </w:tc>
        <w:tc>
          <w:tcPr>
            <w:tcW w:type="dxa" w:w="1881"/>
          </w:tcPr>
          <w:p>
            <w:pPr>
              <w:spacing w:line="240" w:lineRule="auto"/>
            </w:pPr>
            <w:r/>
            <w:r>
              <w:rPr>
                <w:rFonts w:ascii="Times New Roman" w:hAnsi="Times New Roman"/>
                <w:b w:val="0"/>
                <w:sz w:val="18"/>
              </w:rPr>
              <w:t>hazai normálértékek szerint</w:t>
            </w:r>
          </w:p>
        </w:tc>
        <w:tc>
          <w:tcPr>
            <w:tcW w:type="dxa" w:w="1881"/>
          </w:tcPr>
          <w:p>
            <w:pPr>
              <w:spacing w:line="240" w:lineRule="auto"/>
            </w:pPr>
            <w:r/>
            <w:r>
              <w:rPr>
                <w:rFonts w:ascii="Times New Roman" w:hAnsi="Times New Roman"/>
                <w:b w:val="0"/>
                <w:sz w:val="18"/>
              </w:rPr>
              <w:t>minden találkozáskor</w:t>
            </w:r>
          </w:p>
        </w:tc>
        <w:tc>
          <w:tcPr>
            <w:tcW w:type="dxa" w:w="1881"/>
          </w:tcPr>
          <w:p>
            <w:pPr>
              <w:spacing w:line="240" w:lineRule="auto"/>
            </w:pPr>
            <w:r/>
            <w:r>
              <w:rPr>
                <w:rFonts w:ascii="Times New Roman" w:hAnsi="Times New Roman"/>
                <w:b w:val="0"/>
                <w:sz w:val="18"/>
              </w:rPr>
              <w:t>a hazai referenciaértékek rendelkezésre állnak [11]</w:t>
            </w:r>
          </w:p>
        </w:tc>
      </w:tr>
      <w:tr>
        <w:tc>
          <w:tcPr>
            <w:tcW w:type="dxa" w:w="1881"/>
          </w:tcPr>
          <w:p>
            <w:pPr>
              <w:spacing w:line="240" w:lineRule="auto"/>
            </w:pPr>
            <w:r/>
            <w:r>
              <w:rPr>
                <w:rFonts w:ascii="Times New Roman" w:hAnsi="Times New Roman"/>
                <w:b w:val="0"/>
                <w:sz w:val="18"/>
              </w:rPr>
              <w:t>Anyagcsere</w:t>
            </w:r>
          </w:p>
        </w:tc>
        <w:tc>
          <w:tcPr>
            <w:tcW w:type="dxa" w:w="1881"/>
          </w:tcPr>
          <w:p>
            <w:pPr>
              <w:spacing w:line="240" w:lineRule="auto"/>
            </w:pPr>
            <w:r/>
            <w:r>
              <w:rPr>
                <w:rFonts w:ascii="Times New Roman" w:hAnsi="Times New Roman"/>
                <w:b w:val="0"/>
                <w:sz w:val="18"/>
              </w:rPr>
              <w:t>éhomi vércukor, HbA1c, lipidprofil, **húgysav**, ALT</w:t>
            </w:r>
          </w:p>
        </w:tc>
        <w:tc>
          <w:tcPr>
            <w:tcW w:type="dxa" w:w="1881"/>
          </w:tcPr>
          <w:p>
            <w:pPr>
              <w:spacing w:line="240" w:lineRule="auto"/>
            </w:pPr>
            <w:r/>
            <w:r>
              <w:rPr>
                <w:rFonts w:ascii="Times New Roman" w:hAnsi="Times New Roman"/>
                <w:b w:val="0"/>
                <w:sz w:val="18"/>
              </w:rPr>
              <w:t>labor</w:t>
            </w:r>
          </w:p>
        </w:tc>
        <w:tc>
          <w:tcPr>
            <w:tcW w:type="dxa" w:w="1881"/>
          </w:tcPr>
          <w:p>
            <w:pPr>
              <w:spacing w:line="240" w:lineRule="auto"/>
            </w:pPr>
            <w:r/>
            <w:r>
              <w:rPr>
                <w:rFonts w:ascii="Times New Roman" w:hAnsi="Times New Roman"/>
                <w:b w:val="0"/>
                <w:sz w:val="18"/>
              </w:rPr>
              <w:t>indításkor, majd 6–12 havonta</w:t>
            </w:r>
          </w:p>
        </w:tc>
        <w:tc>
          <w:tcPr>
            <w:tcW w:type="dxa" w:w="1881"/>
          </w:tcPr>
          <w:p>
            <w:pPr>
              <w:spacing w:line="240" w:lineRule="auto"/>
            </w:pPr>
            <w:r/>
            <w:r>
              <w:rPr>
                <w:rFonts w:ascii="Times New Roman" w:hAnsi="Times New Roman"/>
                <w:b w:val="0"/>
                <w:sz w:val="18"/>
              </w:rPr>
              <w:t>hazai serdülőkben a hyperuricaemia 38,3%-os [9]</w:t>
            </w:r>
          </w:p>
        </w:tc>
      </w:tr>
      <w:tr>
        <w:tc>
          <w:tcPr>
            <w:tcW w:type="dxa" w:w="1881"/>
          </w:tcPr>
          <w:p>
            <w:pPr>
              <w:spacing w:line="240" w:lineRule="auto"/>
            </w:pPr>
            <w:r/>
            <w:r>
              <w:rPr>
                <w:rFonts w:ascii="Times New Roman" w:hAnsi="Times New Roman"/>
                <w:b w:val="0"/>
                <w:sz w:val="18"/>
              </w:rPr>
              <w:t>Androgének</w:t>
            </w:r>
          </w:p>
        </w:tc>
        <w:tc>
          <w:tcPr>
            <w:tcW w:type="dxa" w:w="1881"/>
          </w:tcPr>
          <w:p>
            <w:pPr>
              <w:spacing w:line="240" w:lineRule="auto"/>
            </w:pPr>
            <w:r/>
            <w:r>
              <w:rPr>
                <w:rFonts w:ascii="Times New Roman" w:hAnsi="Times New Roman"/>
                <w:b w:val="0"/>
                <w:sz w:val="18"/>
              </w:rPr>
              <w:t>összes tesztoszteron, SHBG, számított szabad androgén index</w:t>
            </w:r>
          </w:p>
        </w:tc>
        <w:tc>
          <w:tcPr>
            <w:tcW w:type="dxa" w:w="1881"/>
          </w:tcPr>
          <w:p>
            <w:pPr>
              <w:spacing w:line="240" w:lineRule="auto"/>
            </w:pPr>
            <w:r/>
            <w:r>
              <w:rPr>
                <w:rFonts w:ascii="Times New Roman" w:hAnsi="Times New Roman"/>
                <w:b/>
                <w:sz w:val="18"/>
              </w:rPr>
              <w:t>LC-MS/MS</w:t>
            </w:r>
          </w:p>
        </w:tc>
        <w:tc>
          <w:tcPr>
            <w:tcW w:type="dxa" w:w="1881"/>
          </w:tcPr>
          <w:p>
            <w:pPr>
              <w:spacing w:line="240" w:lineRule="auto"/>
            </w:pPr>
            <w:r/>
            <w:r>
              <w:rPr>
                <w:rFonts w:ascii="Times New Roman" w:hAnsi="Times New Roman"/>
                <w:b w:val="0"/>
                <w:sz w:val="18"/>
              </w:rPr>
              <w:t>leányoknál indításkor és 12 havonta</w:t>
            </w:r>
          </w:p>
        </w:tc>
        <w:tc>
          <w:tcPr>
            <w:tcW w:type="dxa" w:w="1881"/>
          </w:tcPr>
          <w:p>
            <w:pPr>
              <w:spacing w:line="240" w:lineRule="auto"/>
            </w:pPr>
            <w:r/>
            <w:r>
              <w:rPr>
                <w:rFonts w:ascii="Times New Roman" w:hAnsi="Times New Roman"/>
                <w:b w:val="0"/>
                <w:sz w:val="18"/>
              </w:rPr>
              <w:t>alacsony SHBG mellett a normális összes tesztoszteron elfedheti az androgéntúlsúlyt [45]</w:t>
            </w:r>
          </w:p>
        </w:tc>
      </w:tr>
      <w:tr>
        <w:tc>
          <w:tcPr>
            <w:tcW w:type="dxa" w:w="1881"/>
          </w:tcPr>
          <w:p>
            <w:pPr>
              <w:spacing w:line="240" w:lineRule="auto"/>
            </w:pPr>
            <w:r/>
            <w:r>
              <w:rPr>
                <w:rFonts w:ascii="Times New Roman" w:hAnsi="Times New Roman"/>
                <w:b w:val="0"/>
                <w:sz w:val="18"/>
              </w:rPr>
              <w:t>Testösszetétel</w:t>
            </w:r>
          </w:p>
        </w:tc>
        <w:tc>
          <w:tcPr>
            <w:tcW w:type="dxa" w:w="1881"/>
          </w:tcPr>
          <w:p>
            <w:pPr>
              <w:spacing w:line="240" w:lineRule="auto"/>
            </w:pPr>
            <w:r/>
            <w:r>
              <w:rPr>
                <w:rFonts w:ascii="Times New Roman" w:hAnsi="Times New Roman"/>
                <w:b w:val="0"/>
                <w:sz w:val="18"/>
              </w:rPr>
              <w:t>zsírtömeg, **zsírmentes tömeg**, derék–magasság arány</w:t>
            </w:r>
          </w:p>
        </w:tc>
        <w:tc>
          <w:tcPr>
            <w:tcW w:type="dxa" w:w="1881"/>
          </w:tcPr>
          <w:p>
            <w:pPr>
              <w:spacing w:line="240" w:lineRule="auto"/>
            </w:pPr>
            <w:r/>
            <w:r>
              <w:rPr>
                <w:rFonts w:ascii="Times New Roman" w:hAnsi="Times New Roman"/>
                <w:b w:val="0"/>
                <w:sz w:val="18"/>
              </w:rPr>
              <w:t>DXA vagy bioimpedancia</w:t>
            </w:r>
          </w:p>
        </w:tc>
        <w:tc>
          <w:tcPr>
            <w:tcW w:type="dxa" w:w="1881"/>
          </w:tcPr>
          <w:p>
            <w:pPr>
              <w:spacing w:line="240" w:lineRule="auto"/>
            </w:pPr>
            <w:r/>
            <w:r>
              <w:rPr>
                <w:rFonts w:ascii="Times New Roman" w:hAnsi="Times New Roman"/>
                <w:b w:val="0"/>
                <w:sz w:val="18"/>
              </w:rPr>
              <w:t>indításkor, majd évente</w:t>
            </w:r>
          </w:p>
        </w:tc>
        <w:tc>
          <w:tcPr>
            <w:tcW w:type="dxa" w:w="1881"/>
          </w:tcPr>
          <w:p>
            <w:pPr>
              <w:spacing w:line="240" w:lineRule="auto"/>
            </w:pPr>
            <w:r/>
            <w:r>
              <w:rPr>
                <w:rFonts w:ascii="Times New Roman" w:hAnsi="Times New Roman"/>
                <w:b w:val="0"/>
                <w:sz w:val="18"/>
              </w:rPr>
              <w:t>a hormonális következmény a zsigeri zsírhoz kötődik</w:t>
            </w:r>
          </w:p>
        </w:tc>
      </w:tr>
      <w:tr>
        <w:tc>
          <w:tcPr>
            <w:tcW w:type="dxa" w:w="1881"/>
          </w:tcPr>
          <w:p>
            <w:pPr>
              <w:spacing w:line="240" w:lineRule="auto"/>
            </w:pPr>
            <w:r/>
            <w:r>
              <w:rPr>
                <w:rFonts w:ascii="Times New Roman" w:hAnsi="Times New Roman"/>
                <w:b w:val="0"/>
                <w:sz w:val="18"/>
              </w:rPr>
              <w:t>Csont</w:t>
            </w:r>
          </w:p>
        </w:tc>
        <w:tc>
          <w:tcPr>
            <w:tcW w:type="dxa" w:w="1881"/>
          </w:tcPr>
          <w:p>
            <w:pPr>
              <w:spacing w:line="240" w:lineRule="auto"/>
            </w:pPr>
            <w:r/>
            <w:r>
              <w:rPr>
                <w:rFonts w:ascii="Times New Roman" w:hAnsi="Times New Roman"/>
                <w:b w:val="0"/>
                <w:sz w:val="18"/>
              </w:rPr>
              <w:t>BMD Z-score, P1NP, CTX, kalcium, D-vitamin</w:t>
            </w:r>
          </w:p>
        </w:tc>
        <w:tc>
          <w:tcPr>
            <w:tcW w:type="dxa" w:w="1881"/>
          </w:tcPr>
          <w:p>
            <w:pPr>
              <w:spacing w:line="240" w:lineRule="auto"/>
            </w:pPr>
            <w:r/>
            <w:r>
              <w:rPr>
                <w:rFonts w:ascii="Times New Roman" w:hAnsi="Times New Roman"/>
                <w:b w:val="0"/>
                <w:sz w:val="18"/>
              </w:rPr>
              <w:t>DXA + labor</w:t>
            </w:r>
          </w:p>
        </w:tc>
        <w:tc>
          <w:tcPr>
            <w:tcW w:type="dxa" w:w="1881"/>
          </w:tcPr>
          <w:p>
            <w:pPr>
              <w:spacing w:line="240" w:lineRule="auto"/>
            </w:pPr>
            <w:r/>
            <w:r>
              <w:rPr>
                <w:rFonts w:ascii="Times New Roman" w:hAnsi="Times New Roman"/>
                <w:b w:val="0"/>
                <w:sz w:val="18"/>
              </w:rPr>
              <w:t>indításkor, majd 12–24 havonta</w:t>
            </w:r>
          </w:p>
        </w:tc>
        <w:tc>
          <w:tcPr>
            <w:tcW w:type="dxa" w:w="1881"/>
          </w:tcPr>
          <w:p>
            <w:pPr>
              <w:spacing w:line="240" w:lineRule="auto"/>
            </w:pPr>
            <w:r/>
            <w:r>
              <w:rPr>
                <w:rFonts w:ascii="Times New Roman" w:hAnsi="Times New Roman"/>
                <w:b w:val="0"/>
                <w:sz w:val="18"/>
              </w:rPr>
              <w:t>a serdülőkor a csúcscsonttömeg időablaka</w:t>
            </w:r>
          </w:p>
        </w:tc>
      </w:tr>
      <w:tr>
        <w:tc>
          <w:tcPr>
            <w:tcW w:type="dxa" w:w="1881"/>
          </w:tcPr>
          <w:p>
            <w:pPr>
              <w:spacing w:line="240" w:lineRule="auto"/>
            </w:pPr>
            <w:r/>
            <w:r>
              <w:rPr>
                <w:rFonts w:ascii="Times New Roman" w:hAnsi="Times New Roman"/>
                <w:b w:val="0"/>
                <w:sz w:val="18"/>
              </w:rPr>
              <w:t>Táplálkozás</w:t>
            </w:r>
          </w:p>
        </w:tc>
        <w:tc>
          <w:tcPr>
            <w:tcW w:type="dxa" w:w="1881"/>
          </w:tcPr>
          <w:p>
            <w:pPr>
              <w:spacing w:line="240" w:lineRule="auto"/>
            </w:pPr>
            <w:r/>
            <w:r>
              <w:rPr>
                <w:rFonts w:ascii="Times New Roman" w:hAnsi="Times New Roman"/>
                <w:b w:val="0"/>
                <w:sz w:val="18"/>
              </w:rPr>
              <w:t>ferritin, B12-vitamin, D-vitamin, fehérjebevitel</w:t>
            </w:r>
          </w:p>
        </w:tc>
        <w:tc>
          <w:tcPr>
            <w:tcW w:type="dxa" w:w="1881"/>
          </w:tcPr>
          <w:p>
            <w:pPr>
              <w:spacing w:line="240" w:lineRule="auto"/>
            </w:pPr>
            <w:r/>
            <w:r>
              <w:rPr>
                <w:rFonts w:ascii="Times New Roman" w:hAnsi="Times New Roman"/>
                <w:b w:val="0"/>
                <w:sz w:val="18"/>
              </w:rPr>
              <w:t>labor + étrendi napló</w:t>
            </w:r>
          </w:p>
        </w:tc>
        <w:tc>
          <w:tcPr>
            <w:tcW w:type="dxa" w:w="1881"/>
          </w:tcPr>
          <w:p>
            <w:pPr>
              <w:spacing w:line="240" w:lineRule="auto"/>
            </w:pPr>
            <w:r/>
            <w:r>
              <w:rPr>
                <w:rFonts w:ascii="Times New Roman" w:hAnsi="Times New Roman"/>
                <w:b w:val="0"/>
                <w:sz w:val="18"/>
              </w:rPr>
              <w:t>6 havonta</w:t>
            </w:r>
          </w:p>
        </w:tc>
        <w:tc>
          <w:tcPr>
            <w:tcW w:type="dxa" w:w="1881"/>
          </w:tcPr>
          <w:p>
            <w:pPr>
              <w:spacing w:line="240" w:lineRule="auto"/>
            </w:pPr>
            <w:r/>
            <w:r>
              <w:rPr>
                <w:rFonts w:ascii="Times New Roman" w:hAnsi="Times New Roman"/>
                <w:b w:val="0"/>
                <w:sz w:val="18"/>
              </w:rPr>
              <w:t>a hazai tápanyagbevitel több ponton eltér az ajánlottól [6]</w:t>
            </w:r>
          </w:p>
        </w:tc>
      </w:tr>
      <w:tr>
        <w:tc>
          <w:tcPr>
            <w:tcW w:type="dxa" w:w="1881"/>
          </w:tcPr>
          <w:p>
            <w:pPr>
              <w:spacing w:line="240" w:lineRule="auto"/>
            </w:pPr>
            <w:r/>
            <w:r>
              <w:rPr>
                <w:rFonts w:ascii="Times New Roman" w:hAnsi="Times New Roman"/>
                <w:b w:val="0"/>
                <w:sz w:val="18"/>
              </w:rPr>
              <w:t>Pszichoszociális</w:t>
            </w:r>
          </w:p>
        </w:tc>
        <w:tc>
          <w:tcPr>
            <w:tcW w:type="dxa" w:w="1881"/>
          </w:tcPr>
          <w:p>
            <w:pPr>
              <w:spacing w:line="240" w:lineRule="auto"/>
            </w:pPr>
            <w:r/>
            <w:r>
              <w:rPr>
                <w:rFonts w:ascii="Times New Roman" w:hAnsi="Times New Roman"/>
                <w:b w:val="0"/>
                <w:sz w:val="18"/>
              </w:rPr>
              <w:t>evészavar-tünetek, hangulat, szuicid rizikó</w:t>
            </w:r>
          </w:p>
        </w:tc>
        <w:tc>
          <w:tcPr>
            <w:tcW w:type="dxa" w:w="1881"/>
          </w:tcPr>
          <w:p>
            <w:pPr>
              <w:spacing w:line="240" w:lineRule="auto"/>
            </w:pPr>
            <w:r/>
            <w:r>
              <w:rPr>
                <w:rFonts w:ascii="Times New Roman" w:hAnsi="Times New Roman"/>
                <w:b w:val="0"/>
                <w:sz w:val="18"/>
              </w:rPr>
              <w:t>validált kérdőív</w:t>
            </w:r>
          </w:p>
        </w:tc>
        <w:tc>
          <w:tcPr>
            <w:tcW w:type="dxa" w:w="1881"/>
          </w:tcPr>
          <w:p>
            <w:pPr>
              <w:spacing w:line="240" w:lineRule="auto"/>
            </w:pPr>
            <w:r/>
            <w:r>
              <w:rPr>
                <w:rFonts w:ascii="Times New Roman" w:hAnsi="Times New Roman"/>
                <w:b w:val="0"/>
                <w:sz w:val="18"/>
              </w:rPr>
              <w:t>indításkor, majd 3–6 havonta</w:t>
            </w:r>
          </w:p>
        </w:tc>
        <w:tc>
          <w:tcPr>
            <w:tcW w:type="dxa" w:w="1881"/>
          </w:tcPr>
          <w:p>
            <w:pPr>
              <w:spacing w:line="240" w:lineRule="auto"/>
            </w:pPr>
            <w:r/>
            <w:r>
              <w:rPr>
                <w:rFonts w:ascii="Times New Roman" w:hAnsi="Times New Roman"/>
                <w:b w:val="0"/>
                <w:sz w:val="18"/>
              </w:rPr>
              <w:t>a gyógyszeres vizsgálatokban ez az adat hiányos [47]; hazai relevancia [48]</w:t>
            </w:r>
          </w:p>
        </w:tc>
      </w:tr>
      <w:tr>
        <w:tc>
          <w:tcPr>
            <w:tcW w:type="dxa" w:w="1881"/>
          </w:tcPr>
          <w:p>
            <w:pPr>
              <w:spacing w:line="240" w:lineRule="auto"/>
            </w:pPr>
            <w:r/>
            <w:r>
              <w:rPr>
                <w:rFonts w:ascii="Times New Roman" w:hAnsi="Times New Roman"/>
                <w:b w:val="0"/>
                <w:sz w:val="18"/>
              </w:rPr>
              <w:t>Reprodukció</w:t>
            </w:r>
          </w:p>
        </w:tc>
        <w:tc>
          <w:tcPr>
            <w:tcW w:type="dxa" w:w="1881"/>
          </w:tcPr>
          <w:p>
            <w:pPr>
              <w:spacing w:line="240" w:lineRule="auto"/>
            </w:pPr>
            <w:r/>
            <w:r>
              <w:rPr>
                <w:rFonts w:ascii="Times New Roman" w:hAnsi="Times New Roman"/>
                <w:b w:val="0"/>
                <w:sz w:val="18"/>
              </w:rPr>
              <w:t>fogamzásgátlási státusz, terhességi terv, washout-terv</w:t>
            </w:r>
          </w:p>
        </w:tc>
        <w:tc>
          <w:tcPr>
            <w:tcW w:type="dxa" w:w="1881"/>
          </w:tcPr>
          <w:p>
            <w:pPr>
              <w:spacing w:line="240" w:lineRule="auto"/>
            </w:pPr>
            <w:r/>
            <w:r>
              <w:rPr>
                <w:rFonts w:ascii="Times New Roman" w:hAnsi="Times New Roman"/>
                <w:b w:val="0"/>
                <w:sz w:val="18"/>
              </w:rPr>
              <w:t>anamnézis</w:t>
            </w:r>
          </w:p>
        </w:tc>
        <w:tc>
          <w:tcPr>
            <w:tcW w:type="dxa" w:w="1881"/>
          </w:tcPr>
          <w:p>
            <w:pPr>
              <w:spacing w:line="240" w:lineRule="auto"/>
            </w:pPr>
            <w:r/>
            <w:r>
              <w:rPr>
                <w:rFonts w:ascii="Times New Roman" w:hAnsi="Times New Roman"/>
                <w:b w:val="0"/>
                <w:sz w:val="18"/>
              </w:rPr>
              <w:t>minden találkozáskor</w:t>
            </w:r>
          </w:p>
        </w:tc>
        <w:tc>
          <w:tcPr>
            <w:tcW w:type="dxa" w:w="1881"/>
          </w:tcPr>
          <w:p>
            <w:pPr>
              <w:spacing w:line="240" w:lineRule="auto"/>
            </w:pPr>
            <w:r/>
            <w:r>
              <w:rPr>
                <w:rFonts w:ascii="Times New Roman" w:hAnsi="Times New Roman"/>
                <w:b w:val="0"/>
                <w:sz w:val="18"/>
              </w:rPr>
              <w:t>a ciklus rendeződése a nem tervezett terhesség kockázatát is emeli</w:t>
            </w:r>
          </w:p>
        </w:tc>
      </w:tr>
    </w:tbl>
    <w:p>
      <w:pPr>
        <w:spacing w:after="80"/>
      </w:pPr>
    </w:p>
    <w:p>
      <w:pPr>
        <w:spacing w:line="240" w:lineRule="auto"/>
      </w:pPr>
      <w:r>
        <w:rPr>
          <w:b w:val="0"/>
          <w:i/>
          <w:sz w:val="18"/>
        </w:rPr>
        <w:t>Megjegyzés: A táblázat a jelen áttekintés által azonosított hiányokból levezetett gondozási javaslat, nem ajánlás és nem protokoll. Egyúttal azt a minimális végpontkészletet is megadja, amelyet egy jövőbeli, fiatalkori végpontokra tervezett vizsgálatnak mérnie kellene. Rövidítések: SDS = standard deviációs pontszám; TW3 = Tanner–Whitehouse 3; LC-MS/MS = folyadékkromatográfiával kapcsolt tandem tömegspektrometria; SHBG = szexuálhormon-kötő globulin; DXA = kettős energiájú röntgenabszorpciometria; BMD = csontásványianyag-sűrűség; P1NP = prokollagén-I N-terminális propeptid; CTX = C-terminális telopeptid.</w:t>
      </w:r>
    </w:p>
    <w:p>
      <w:r>
        <w:br w:type="page"/>
      </w:r>
    </w:p>
    <w:p>
      <w:pPr>
        <w:spacing w:after="120"/>
      </w:pPr>
      <w:r>
        <w:rPr>
          <w:b/>
          <w:sz w:val="24"/>
        </w:rPr>
        <w:t>ÁBRAALÁÍRÁSOK</w:t>
      </w:r>
    </w:p>
    <w:p>
      <w:pPr>
        <w:spacing w:line="360" w:lineRule="auto" w:after="160"/>
      </w:pPr>
      <w:r>
        <w:rPr>
          <w:b/>
          <w:i w:val="0"/>
          <w:sz w:val="24"/>
        </w:rPr>
        <w:t>1. ábra.</w:t>
      </w:r>
      <w:r>
        <w:rPr>
          <w:b w:val="0"/>
          <w:i w:val="0"/>
          <w:sz w:val="24"/>
        </w:rPr>
        <w:t xml:space="preserve"> A GLP-1-receptor-agonisták hatása öt hatásdomén mentén és közös kimenetük. A kék nyilak a gyógyszerhatás irányát, a piros nyilak az egyes hatásdomének kimenetre gyakorolt hatását jelölik. A tirzepatid GIP/GLP-1 kettős agonista, 18 éves kor alatt nem törzskönyvezett. *Rövidítések:* SHBG = szexuálhormon-kötő globulin; ALT = alanin-aminotranszferáz; CRP = C-reaktív protein; SMD = standardizált átlagkülönbség; GDM = gestatiós diabetes; T2DM = 2-es típusú diabetes; PCOS = polycystás ovarium szindróma.</w:t>
      </w:r>
    </w:p>
    <w:p>
      <w:pPr>
        <w:spacing w:line="360" w:lineRule="auto" w:after="160"/>
      </w:pPr>
      <w:r>
        <w:rPr>
          <w:b/>
          <w:i w:val="0"/>
          <w:sz w:val="24"/>
        </w:rPr>
        <w:t>2. ábra.</w:t>
      </w:r>
      <w:r>
        <w:rPr>
          <w:b w:val="0"/>
          <w:i w:val="0"/>
          <w:sz w:val="24"/>
        </w:rPr>
        <w:t xml:space="preserve"> Életút flow-chart: három kockázati pálya a praepubertastól az időskorig. A – normál testalkat; B – obesitas kezelés nélkül; C – fiatalkorban megkezdett és tartósan fenntartott GLP-1-receptor-agonista kezelés. A függőleges nyíl a terápiás beavatkozás időpontját jelöli. A pályák szemléltető kockázati trajektóriák; nem egyéni prognózis és nem mért incidenciaértékek. *Rövidítések:* pc = percentilis; MASLD = metabolikus diszfunkcióhoz társuló steatoticus májbetegség; hsCRP = nagy érzékenységű C-reaktív protein.</w:t>
      </w:r>
    </w:p>
    <w:p>
      <w:pPr>
        <w:spacing w:line="360" w:lineRule="auto" w:after="160"/>
      </w:pPr>
      <w:r>
        <w:rPr>
          <w:b/>
          <w:i w:val="0"/>
          <w:sz w:val="24"/>
        </w:rPr>
        <w:t>3. ábra.</w:t>
      </w:r>
      <w:r>
        <w:rPr>
          <w:b w:val="0"/>
          <w:i w:val="0"/>
          <w:sz w:val="24"/>
        </w:rPr>
        <w:t xml:space="preserve"> Mi előzhető meg, mennyi társadalmi költséggel, és mennyire biztos. (a) A 14 és 65 éves kor között elhárítható vagy késleltethető megbetegedések száma 1000 nőre. (b) Kumulált, 3%/év mellett diszkontált társadalmi költség életkor szerint, három gyógyszerár mellett. (c) A nettó élettartam-mérleg a havi gyógyszerár függvényében, társadalmi perspektívában, illetve kizárólag közvetlen ellátási költséggel; a pontok a költségsemleges küszöbárat jelölik. (d) Egyirányú érzékenységi elemzés. (e) Valószínűségi érzékenységi elemzés: a megtakarítás valószínűsége a havi ár függvényében, 4000 Monte Carlo-futtatás alapján. (f) A modell feltételezései. Szemléltető modelleredmény a 3. táblázat feltételezéseivel.</w:t>
      </w:r>
    </w:p>
    <w:p>
      <w:pPr>
        <w:spacing w:line="360" w:lineRule="auto" w:after="160"/>
      </w:pPr>
      <w:r>
        <w:rPr>
          <w:b/>
          <w:i w:val="0"/>
          <w:sz w:val="24"/>
        </w:rPr>
        <w:t>4. ábra.</w:t>
      </w:r>
      <w:r>
        <w:rPr>
          <w:b w:val="0"/>
          <w:i w:val="0"/>
          <w:sz w:val="24"/>
        </w:rPr>
        <w:t xml:space="preserve"> Az inkretintengely biokémiai kaszkádja. A bal oldali doboz az inkretinhatás forrását és a terápiás analógok farmakokinetikai módosítását foglalja össze. Az 1–4. sáv a négy hatásirányt mutatja a kiindulási változástól a biokémiai lépésen át a kimenetig; az 5. sáv az ellentétes irányú, alacsony energia-hozzáférhetőségen alapuló mechanizmust. A folytonos nyilak dokumentált, a szaggatott nyilak feltételezett útvonalat jelölnek. *Rövidítések:* DPP-4 = dipeptidil-peptidáz-4; t½ = felezési idő; HNF-4α = hepatocyta nukleáris faktor 4-alfa; SHBG = szexuálhormon-kötő globulin; POMC = pro-opiomelanokortin; α-MSH = alfa-melanocyta-stimuláló hormon; MC3/4R = melanokortin-3/4 receptor; GnRH = gonadotropin-releasing hormon; LH = luteinizáló hormon; FSH = follikulusstimuláló hormon; IL-6 = interleukin-6; TNF-α = tumornekrózis-faktor-alfa; CRP = C-reaktív protein; GLP-1R = GLP-1 receptor.</w:t>
      </w:r>
    </w:p>
    <w:p>
      <w:pPr>
        <w:spacing w:line="480" w:lineRule="auto"/>
      </w:pPr>
      <w:r>
        <w:rPr>
          <w:b w:val="0"/>
          <w:i/>
          <w:sz w:val="20"/>
        </w:rPr>
        <w:t>Mind a négy ábra színes; külön fájlban, 300 dpi TIFF és 600 dpi PNG formátumban kerül benyújtásra, szürkeárnyalatos változattal együtt.</w:t>
      </w:r>
    </w:p>
    <w:sectPr w:rsidR="00FC693F" w:rsidRPr="0006063C" w:rsidSect="00034616">
      <w:head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