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sz w:val="28"/>
        </w:rPr>
        <w:t>Inkretin-alapú terápiák a gyermeknőgyógyászati praxisban: a GLP-1 receptor agonisták hatása a serdülőkori reproduktív axisra</w:t>
      </w:r>
    </w:p>
    <w:p>
      <w:pPr>
        <w:spacing w:line="480" w:lineRule="auto"/>
        <w:jc w:val="center"/>
      </w:pPr>
      <w:r>
        <w:rPr>
          <w:b/>
          <w:i w:val="0"/>
          <w:sz w:val="24"/>
        </w:rPr>
        <w:t>Alcím / rövid cím:</w:t>
      </w:r>
      <w:r>
        <w:rPr>
          <w:b w:val="0"/>
          <w:i w:val="0"/>
          <w:sz w:val="24"/>
        </w:rPr>
        <w:t xml:space="preserve"> Inkretinek a serdülőkori reproduktív axison</w:t>
      </w:r>
    </w:p>
    <w:p/>
    <w:p>
      <w:pPr>
        <w:spacing w:line="480" w:lineRule="auto"/>
        <w:jc w:val="center"/>
      </w:pPr>
      <w:r>
        <w:rPr>
          <w:b/>
          <w:i w:val="0"/>
          <w:sz w:val="24"/>
        </w:rPr>
        <w:t>Dr. Szili Károly</w:t>
      </w:r>
    </w:p>
    <w:p>
      <w:pPr>
        <w:spacing w:line="480" w:lineRule="auto"/>
        <w:jc w:val="center"/>
      </w:pPr>
      <w:r>
        <w:rPr>
          <w:b w:val="0"/>
          <w:i w:val="0"/>
          <w:sz w:val="24"/>
        </w:rPr>
        <w:t>Munkahely, pontos hivatalos megnevezés, helységnév, intézményvezető neve: …………………………………… *(kitöltendő)*</w:t>
      </w:r>
    </w:p>
    <w:p/>
    <w:p>
      <w:pPr>
        <w:spacing w:line="480" w:lineRule="auto"/>
        <w:jc w:val="center"/>
      </w:pPr>
      <w:r>
        <w:rPr>
          <w:b/>
          <w:i w:val="0"/>
          <w:sz w:val="24"/>
        </w:rPr>
        <w:t>Kapcsolattartó (levelező) szerző:</w:t>
      </w:r>
      <w:r>
        <w:rPr>
          <w:b w:val="0"/>
          <w:i w:val="0"/>
          <w:sz w:val="24"/>
        </w:rPr>
        <w:t xml:space="preserve"> Dr. Szili Károly · szilikaroly@gmail.com · levelezési cím: …………………………………… *(kitöltendő)*</w:t>
      </w:r>
    </w:p>
    <w:p>
      <w:pPr>
        <w:spacing w:line="480" w:lineRule="auto"/>
        <w:jc w:val="center"/>
      </w:pPr>
      <w:r>
        <w:rPr>
          <w:b w:val="0"/>
          <w:i/>
          <w:sz w:val="20"/>
        </w:rPr>
        <w:t>(A kísérőlevélhez az első szerző fényképét is csatolni kell.)</w:t>
      </w:r>
    </w:p>
    <w:p>
      <w:r>
        <w:br w:type="page"/>
      </w:r>
    </w:p>
    <w:p>
      <w:pPr>
        <w:spacing w:before="0" w:after="120"/>
      </w:pPr>
      <w:r>
        <w:rPr>
          <w:b/>
          <w:sz w:val="24"/>
        </w:rPr>
        <w:t>ÖSSZEFOGLALÁS</w:t>
      </w:r>
    </w:p>
    <w:p>
      <w:pPr>
        <w:spacing w:line="480" w:lineRule="auto"/>
      </w:pPr>
      <w:r>
        <w:rPr>
          <w:b w:val="0"/>
          <w:i w:val="0"/>
          <w:sz w:val="24"/>
        </w:rPr>
        <w:t>A gyermek- és serdülőkori elhízás a nőgyógyászati rendelőben ma már nem kísérőjelenség, hanem önálló kiindulópont: a korai adrenarche, a korai menarche, az oligomenorrhoea, a hyperandrogen fenotípus és a késői reproduktív kudarcok közös metabolikus gyökérről táplálkoznak. A glukagonszerű peptid-1 (GLP-1) receptor agonisták megjelenése a 12 év feletti korosztályban először teremtett olyan gyógyszeres lehetőséget, amely a testsúly-trajektóriát érdemben megtöri, és ezzel közvetve a reproduktív tengelyt is átrendezi. Jelen áttekintés a 8–18 éves leánypopulációra fókuszálva foglalja össze a rendelkezésre álló bizonyítékokat öt hatásdomén mentén: testsúly és testösszetétel, szteroidhormon-mintázat, nemi érés és ciklusműködés, gyulladás, valamint az élettartam-kockázat. A randomizált bizonyíték a testsúlyra robusztus: a 12–18 éves korosztályban a heti egyszeri szemaglutid 68 hét alatt 16,1%-os BMI-csökkenést eredményezett a placebo 0,6%-os emelkedésével szemben, és a résztvevők közel háromnegyede ért el legalább 5%-os testsúlycsökkenést; a liraglutid mind a 12–18, mind a 6–12 éves sávban hatásosnak bizonyult. A szteroidhormon-mintázatra és a ciklusműködésre vonatkozó adatok döntően felnőtt, polycystás ovarium szindrómás (PCOS) populációból származnak, ahol a GLP-1 receptor agonisták javítják a menstruációs frekvenciát, csökkentik az androgénszintet és emelik az SHBG-t; a serdülőkori közvetlen bizonyíték hiányos. A gyulladásra gyakorolt hatás mérhető és részben testsúlyfüggetlen. A pubertás időzítésére gyakorolt hatás elsődlegesen zsírtömeg- és leptinmediált, a kisspeptin-neuronokon keresztül; közvetlen gyógyszerhatásra csak állatkísérletes adat utal. Kiemelendő, hogy a hatás kétirányú: gyors, nagy mértékű és alacsony energiabevitellel járó fogyás mellett ugyanez a lánc a tengely elnyomásához is vezethet, amit egyetlen vizsgálat sem mért. A gyakorlati megfontolások középpontjában a fogamzásgátlás – a tirzepatid orális fogamzásgátlóval való kölcsönhatásával együtt –, a felezési időből levezetett koncepció előtti washout, az evészavar-szűrés, a csont- és izomtömeg védelme, valamint a kezelés abbahagyása utáni visszahízás áll. Az áttekintés egy életút-modellel zárul, amely három pályát – normál testalkatú, kezeletlen obes, valamint GLP-1 receptor agonistával kezelt és tartósan fenntartott obes leány – követ végig a praepubertastól az időskorig, és szemlélteti az elhárítható betegségterhet, valamint annak egészséggazdasági súlyát: társadalmi perspektívában, a munkahelyi távolléteket és a reprodukciós veszteséget is beszámítva a tartós kezelés havi 23 000 forint körüli gyógyszerár alatt megtakarítást eredményez.</w:t>
      </w:r>
    </w:p>
    <w:p/>
    <w:p>
      <w:pPr>
        <w:spacing w:line="480" w:lineRule="auto"/>
      </w:pPr>
      <w:r>
        <w:rPr>
          <w:b/>
          <w:i w:val="0"/>
          <w:sz w:val="24"/>
        </w:rPr>
        <w:t>Kulcsszavak:</w:t>
      </w:r>
      <w:r>
        <w:rPr>
          <w:b w:val="0"/>
          <w:i w:val="0"/>
          <w:sz w:val="24"/>
        </w:rPr>
        <w:t xml:space="preserve"> GLP-1 receptor agonista, serdülőkori elhízás, polycystás ovarium szindróma, reproduktív tengely, egészséggazdaságtan</w:t>
      </w:r>
    </w:p>
    <w:p>
      <w:r>
        <w:br w:type="page"/>
      </w:r>
    </w:p>
    <w:p>
      <w:pPr>
        <w:spacing w:before="240" w:after="80"/>
      </w:pPr>
      <w:r>
        <w:rPr>
          <w:b/>
          <w:sz w:val="24"/>
        </w:rPr>
        <w:t>BEVEZETÉS</w:t>
      </w:r>
    </w:p>
    <w:p>
      <w:pPr>
        <w:spacing w:line="480" w:lineRule="auto"/>
      </w:pPr>
      <w:r>
        <w:rPr>
          <w:b w:val="0"/>
          <w:i w:val="0"/>
          <w:sz w:val="24"/>
        </w:rPr>
        <w:t>A gyermeknőgyógyászati rendelőben megjelenő panaszok – korai adrenarche, korai menarche, oligomenorrhoea, hirsutismus, acne, dysfunctionalis vérzés – egyre gyakrabban ugyanannak a metabolikus alapfolyamatnak a felszíni jelei. Az Amerikai Gyermekgyógyász Akadémia 2023-as ajánlása éppen ezért szakított a korábbi „figyelő várakozás” stratégiájával, és az azonnali, intenzív, szükség esetén gyógyszeres kezelést tette az obesitas gyermekkori kezelésének alapelvévé [1]. Ennek nőgyógyászati súlya is van: a serdülőkori elhízás nagy valószínűséggel átnyúlik a felnőttkorba – az esélyhányados 5,21 (95% CI 4,50–6,02) –, ugyanakkor a gyermekkori BMI önmagában gyenge prediktora az egyéni felnőttkori megbetegedésnek, mert az obesitas-asszociált morbiditás nagyobb része normál testsúlyú gyermekekből származik [2]. A prevenció tehát populációs szinten erős, egyéni szinten árnyalt érvelést kíván.</w:t>
      </w:r>
    </w:p>
    <w:p>
      <w:pPr>
        <w:spacing w:line="480" w:lineRule="auto"/>
      </w:pPr>
      <w:r>
        <w:rPr>
          <w:b w:val="0"/>
          <w:i w:val="0"/>
          <w:sz w:val="24"/>
        </w:rPr>
        <w:t>A 2023-as nemzetközi PCOS-ajánlás a serdülőkori diagnózist szándékosan szigorúbb feltételekhez köti, és a metabolikus komponens kezelését helyezi előtérbe [3]. Éppen ebbe a résbe lépett be a glukagonszerű peptid-1 (GLP-1) receptor agonisták új generációja, amely 12 éves kor felett törzskönyvezett indikációt kapott az elhízás kezelésére. A gyermeknőgyógyász szempontjából a kérdés nem az, hogy ezek a készítmények fogyasztanak-e – erre a válasz egyértelműen igen –, hanem az, hogy mit tesznek a fejlődésben lévő reproduktív tengellyel. Jelen áttekintés a 8–18 éves leánypopulációra fókuszálva, öt hatásdomén mentén foglalja össze a bizonyítékokat, majd egy életút-perspektívába helyezi azokat.</w:t>
      </w:r>
    </w:p>
    <w:p>
      <w:pPr>
        <w:spacing w:line="480" w:lineRule="auto"/>
      </w:pPr>
      <w:r>
        <w:rPr>
          <w:b/>
          <w:i w:val="0"/>
          <w:sz w:val="24"/>
        </w:rPr>
        <w:t>Módszertan.</w:t>
      </w:r>
      <w:r>
        <w:rPr>
          <w:b w:val="0"/>
          <w:i w:val="0"/>
          <w:sz w:val="24"/>
        </w:rPr>
        <w:t xml:space="preserve"> A PubMed adatbázisban 2026 szeptemberéig kerestünk a „GLP-1 receptor agonist”, „semaglutide”, „liraglutide”, „tirzepatide” kifejezéseknek az „adolescent”, „puberty”, „polycystic ovary syndrome”, „inflammation” és „cost-effectiveness” kifejezésekkel alkotott kombinációira. Elsődlegesen randomizált vizsgálatokat, metaanalíziseket és nemzetközi ajánlásokat fogadtunk be. A keresés </w:t>
      </w:r>
      <w:r>
        <w:rPr>
          <w:b/>
          <w:i w:val="0"/>
          <w:sz w:val="24"/>
        </w:rPr>
        <w:t>nem szisztematikus</w:t>
      </w:r>
      <w:r>
        <w:rPr>
          <w:b w:val="0"/>
          <w:i w:val="0"/>
          <w:sz w:val="24"/>
        </w:rPr>
        <w:t>: egy szerző végezte, szűrési folyamatábra nélkül, ezért az áttekintés narratív jellegű. Minden hivatkozás bibliográfiai adatát hat dimenzióban (DOI, első szerző, szerzőlista, folyóirat, kötet, oldalszám vagy cikkszám) Crossref és PubMed ellen ellenőriztük. Az alább használt öt hatásdomén didaktikai keret, nem validált taxonómia.</w:t>
      </w:r>
    </w:p>
    <w:p>
      <w:pPr>
        <w:spacing w:before="240" w:after="80"/>
      </w:pPr>
      <w:r>
        <w:rPr>
          <w:b/>
          <w:sz w:val="24"/>
        </w:rPr>
        <w:t>A SERDÜLŐKORI ELHÍZÁS NŐGYÓGYÁSZATI FENOTÍPUSA A 8–18 ÉVES SÁVBAN</w:t>
      </w:r>
    </w:p>
    <w:p>
      <w:pPr>
        <w:spacing w:line="480" w:lineRule="auto"/>
      </w:pPr>
      <w:r>
        <w:rPr>
          <w:b w:val="0"/>
          <w:i w:val="0"/>
          <w:sz w:val="24"/>
        </w:rPr>
        <w:t xml:space="preserve">A </w:t>
      </w:r>
      <w:r>
        <w:rPr>
          <w:b/>
          <w:i w:val="0"/>
          <w:sz w:val="24"/>
        </w:rPr>
        <w:t>8–11 éves sávban</w:t>
      </w:r>
      <w:r>
        <w:rPr>
          <w:b w:val="0"/>
          <w:i w:val="0"/>
          <w:sz w:val="24"/>
        </w:rPr>
        <w:t xml:space="preserve"> a domináns jelenség a korai adrenarche és a testzsírtömeghez kötött korai pubertáskezdet [4]. A beavatkozás tétje itt elsősorban az érés időzítése és a végleges testmagasság, nem a ciklusműködés; a liraglutid lefelé kiterjesztett indikációval rendelkezik, a szemaglutid nem, és a gyógyszeres kezelés indikációja kivételes.</w:t>
      </w:r>
    </w:p>
    <w:p>
      <w:pPr>
        <w:spacing w:line="480" w:lineRule="auto"/>
      </w:pPr>
      <w:r>
        <w:rPr>
          <w:b w:val="0"/>
          <w:i w:val="0"/>
          <w:sz w:val="24"/>
        </w:rPr>
        <w:t xml:space="preserve">A </w:t>
      </w:r>
      <w:r>
        <w:rPr>
          <w:b/>
          <w:i w:val="0"/>
          <w:sz w:val="24"/>
        </w:rPr>
        <w:t>12–15 éves sávban</w:t>
      </w:r>
      <w:r>
        <w:rPr>
          <w:b w:val="0"/>
          <w:i w:val="0"/>
          <w:sz w:val="24"/>
        </w:rPr>
        <w:t xml:space="preserve"> jelenik meg a klasszikus tünetegyüttes: a menarchét követően fiziológiásan is gyakori anovulációs ciklusok obes leányban tartós oligomenorrhoeává rögzülnek, hyperandrogen bőrtünetekkel. A differenciáldiagnózis itt a legnehezebb, mert a fiziológiás pubertáskori inzulinrezisztencia és a kialakuló PCOS képe átfedésben van; a nemzetközi ajánlás ezért nem javasolja a PCOS diagnózisát a menarchét követő első két évben [3].</w:t>
      </w:r>
    </w:p>
    <w:p>
      <w:pPr>
        <w:spacing w:line="480" w:lineRule="auto"/>
      </w:pPr>
      <w:r>
        <w:rPr>
          <w:b w:val="0"/>
          <w:i w:val="0"/>
          <w:sz w:val="24"/>
        </w:rPr>
        <w:t xml:space="preserve">A </w:t>
      </w:r>
      <w:r>
        <w:rPr>
          <w:b/>
          <w:i w:val="0"/>
          <w:sz w:val="24"/>
        </w:rPr>
        <w:t>16–18 éves sávban</w:t>
      </w:r>
      <w:r>
        <w:rPr>
          <w:b w:val="0"/>
          <w:i w:val="0"/>
          <w:sz w:val="24"/>
        </w:rPr>
        <w:t xml:space="preserve"> a fenotípus felnőtt jellegűvé válik, és a kezelési döntés már a reproduktív tervekkel együtt mérlegelendő: itt teljesülnek leggyakrabban az indikációs feltételek, és itt a legmagasabb a fogamzásgátlás elmulasztásának kockázata is.</w:t>
      </w:r>
    </w:p>
    <w:p>
      <w:pPr>
        <w:spacing w:before="240" w:after="80"/>
      </w:pPr>
      <w:r>
        <w:rPr>
          <w:b/>
          <w:sz w:val="24"/>
        </w:rPr>
        <w:t>AZ INKRETINTENGELY ÉS A REPRODUKTÍV AXIS: ÉLETTANI ÉS BIOKÉMIAI KAPCSOLÓDÁS</w:t>
      </w:r>
    </w:p>
    <w:p>
      <w:pPr>
        <w:spacing w:line="480" w:lineRule="auto"/>
      </w:pPr>
      <w:r>
        <w:rPr>
          <w:b/>
          <w:i w:val="0"/>
          <w:sz w:val="24"/>
        </w:rPr>
        <w:t>Maga az inkretintengely.</w:t>
      </w:r>
      <w:r>
        <w:rPr>
          <w:b w:val="0"/>
          <w:i w:val="0"/>
          <w:sz w:val="24"/>
        </w:rPr>
        <w:t xml:space="preserve"> A táplálékfelvételre a vékonybél L-sejtjei glukagonszerű peptid-1-et (GLP-1), a K-sejtek glükózfüggő inzulinotrop polipeptidet (GIP) választanak el; mindkettő glükózfüggő módon fokozza az inzulinszekréciót, a natív GLP-1 azonban a dipeptidil-peptidáz-4 hatására percek alatt lebomlik. A terápiás analógok ezt aminosav-cserével, zsírsav-konjugációval, illetve albumin- vagy Fc-fúzióval kerülik meg: a felezési idő a natív peptid mintegy két percéről a liraglutid esetében órás, a szemaglutid és a tirzepatid esetében közel egyhetes nagyságrendbe nő [5]. A reproduktív tengely szempontjából nem az inzulinotrop hatás a döntő, hanem a hozzá társuló négy mellékútvonal és egy ötödik, ellentétes irányú mechanizmus (1. és 4. ábra).</w:t>
      </w:r>
    </w:p>
    <w:p>
      <w:pPr>
        <w:spacing w:line="480" w:lineRule="auto"/>
      </w:pPr>
      <w:r>
        <w:rPr>
          <w:b/>
          <w:i w:val="0"/>
          <w:sz w:val="24"/>
        </w:rPr>
        <w:t>1. A hepatikus-metabolikus út: az SHBG.</w:t>
      </w:r>
      <w:r>
        <w:rPr>
          <w:b w:val="0"/>
          <w:i w:val="0"/>
          <w:sz w:val="24"/>
        </w:rPr>
        <w:t xml:space="preserve"> A szteroidhormon-mintázat átrendeződésének kulcsmolekulája a májban termelődő szexuálhormon-kötő globulin (SHBG), amely a keringő nemi szteroidok hozzáférhetőségét szabja meg. Az SHBG-termelés nem közvetlenül az inzulinszinttől függ, hanem a hepatocyta lipogenezisétől: a monoszacharid-terhelés a de novo lipogenezist fokozva csökkenti a hepatikus HNF-4α mennyiségét, amely az SHBG-promoter kritikus transzkripciós faktora, és így esik az SHBG-szint [6]. Ez magyarázza, hogy az SHBG miért érzékeny biomarkere az inzulinrezisztenciának, és hogy miért emelkedik akkor, ha a zsigeri zsír és a májzsír csökken. Az emelkedő SHBG a szabad, biológiailag hozzáférhető tesztoszteronfrakciót csökkenti akkor is, ha az összes tesztoszteron alig változik – a serdülőkori hyperandrogen fenotípus enyhülése ezen a láncon keresztül a legjobban értelmezhető. Ugyanez a lánc a fordított irányban is működik: a máj zsírosodása önálló SHBG-csökkentő, tehát androgénhatást erősítő tényező.</w:t>
      </w:r>
    </w:p>
    <w:p>
      <w:pPr>
        <w:spacing w:line="480" w:lineRule="auto"/>
      </w:pPr>
      <w:r>
        <w:rPr>
          <w:b/>
          <w:i w:val="0"/>
          <w:sz w:val="24"/>
        </w:rPr>
        <w:t>2. A zsírszövet–leptin–kisspeptin út: a pubertás valódi közvetítője.</w:t>
      </w:r>
      <w:r>
        <w:rPr>
          <w:b w:val="0"/>
          <w:i w:val="0"/>
          <w:sz w:val="24"/>
        </w:rPr>
        <w:t xml:space="preserve"> A testzsírtömeg és a nemi érés időzítése közötti kapcsolat nem közvetlen, hanem a zsírszövet hormonján, a leptinen keresztül valósul meg, amely engedélyező (permisszív) jelként hat a nucleus arcuatus kisspeptint termelő neuronjaira; ezek a GnRH-neuronok legfontosabb feljebb álló szabályozói, és egyben a szervezet energetikai állapotának érzékelői [7]. A jelátvitel nem egyetlen lépésben történik: a leptin hatása részben a POMC-neuronok α-MSH-jelzésén át, melanokortinreceptorokon keresztül éri el a Kiss1-neuronokat, és e lánc gátlása állatkísérletben késlelteti a pubertást, illetve eltörli a leptin engedélyező hatását [8]. Klinikai megfelelője jól dokumentált: a nehezebb testalkat a korábbi pubertás legerősebb ismert előrejelzője, és a gyermekkori BMI-visszapattanás korábbi időpontja korábbi thelarchéval és menarchéval jár [4]. Az összefüggés kétirányú: mendeli randomizáció szerint a korábbi menarche önmagában is magasabb felnőttkori BMI-t okoz [9] – a leány önerősítő körbe kerül, amelyet a beavatkozás elvben megtörhet. </w:t>
      </w:r>
      <w:r>
        <w:rPr>
          <w:b/>
          <w:i w:val="0"/>
          <w:sz w:val="24"/>
        </w:rPr>
        <w:t>Ebből következik a mechanizmus legfontosabb tanulsága: a GLP-1 receptor agonista melletti pubertásváltozás elsődlegesen zsírtömeg- és leptinmediált, tehát nem tulajdonítható eleve közvetlen gyógyszerhatásnak.</w:t>
      </w:r>
    </w:p>
    <w:p>
      <w:pPr>
        <w:spacing w:line="480" w:lineRule="auto"/>
      </w:pPr>
      <w:r>
        <w:rPr>
          <w:b/>
          <w:i w:val="0"/>
          <w:sz w:val="24"/>
        </w:rPr>
        <w:t>3. A közvetlen gonadális út: hipotézis.</w:t>
      </w:r>
      <w:r>
        <w:rPr>
          <w:b w:val="0"/>
          <w:i w:val="0"/>
          <w:sz w:val="24"/>
        </w:rPr>
        <w:t xml:space="preserve"> Nőstény patkányban a GLP-1 és az exendin-4 a hypothalamus, a hypophysis és az ovarium szintjén is modulálta a gonadális tengelyt: proöstrusban adva megkétszerezte a preovulációs LH-csúcs amplitúdóját, növelte az érett tüszők számát, és szinkronizálta a pubertás megindulását [10]. A humán, juvenilis gonadális tengelyen azonban a GLP-1 receptor jelenléte nem igazolt, ezért ezt az útvonalat a jelen áttekintés hipotézisként, nem bizonyított mechanizmusként kezeli.</w:t>
      </w:r>
    </w:p>
    <w:p>
      <w:pPr>
        <w:spacing w:line="480" w:lineRule="auto"/>
      </w:pPr>
      <w:r>
        <w:rPr>
          <w:b/>
          <w:i w:val="0"/>
          <w:sz w:val="24"/>
        </w:rPr>
        <w:t>4. A gyulladásos út.</w:t>
      </w:r>
      <w:r>
        <w:rPr>
          <w:b w:val="0"/>
          <w:i w:val="0"/>
          <w:sz w:val="24"/>
        </w:rPr>
        <w:t xml:space="preserve"> A zsírszövet alacsony fokú krónikus gyulladása a PCOS, az endometriosis és az endometrium-hyperplasia patomechanizmusában egyaránt szerepet játszik. A bizonyíték azonban egy downstream, hepatikus akut fázis fehérjén, a C-reaktív proteinen nyugszik [11], amely következmény, nem mechanizmus: az upstream mediátorok – IL-6, TNF-α, adiponektin/leptin arány – a serdülőkori vizsgálatokban nem szerepelnek. A testsúlytól részben független gyulladáscsökkentő hatás ezért hipotézis, amelyhez mediációs elemzés kell.</w:t>
      </w:r>
    </w:p>
    <w:p>
      <w:pPr>
        <w:spacing w:line="480" w:lineRule="auto"/>
      </w:pPr>
      <w:r>
        <w:rPr>
          <w:b/>
          <w:i w:val="0"/>
          <w:sz w:val="24"/>
        </w:rPr>
        <w:t>5. Az ellentétes irányú mechanizmus: alacsony energia-hozzáférhetőség.</w:t>
      </w:r>
      <w:r>
        <w:rPr>
          <w:b w:val="0"/>
          <w:i w:val="0"/>
          <w:sz w:val="24"/>
        </w:rPr>
        <w:t xml:space="preserve"> A tengelyhatás nem egyirányú. Ugyanaz a leptin–kisspeptin lánc, amely a zsírtömeg csökkenésével kedvezően rendezi át a hyperandrogen fenotípust, tartósan alacsony energiabevitel mellett a GnRH-pulzusgenerátor gátlásához vezet: ez a funkcionális hypothalamicus amenorrhoea mechanizmusa, amelynek klasszikus kiváltói között a testsúlyvesztés kiemelt helyen szerepel [12]. Serdülőkorban, a még éretlen pulzusgenerátor mellett ez a kockázat elvben nagyobb, mint felnőttben. A GLP-1 receptor agonista kezelés tehát a reproduktív tengelyre nézve </w:t>
      </w:r>
      <w:r>
        <w:rPr>
          <w:b/>
          <w:i w:val="0"/>
          <w:sz w:val="24"/>
        </w:rPr>
        <w:t>kétirányú</w:t>
      </w:r>
      <w:r>
        <w:rPr>
          <w:b w:val="0"/>
          <w:i w:val="0"/>
          <w:sz w:val="24"/>
        </w:rPr>
        <w:t>: mérsékelt, fokozatos zsírtömeg-csökkenés mellett a ciklusműködés javul, gyors és nagy mértékű, alacsony energiabevitellel járó fogyás mellett viszont a tengely elnyomása is elképzelhető. Ezt a lehetőséget a rendelkezésre álló vizsgálatok egyike sem vizsgálta.</w:t>
      </w:r>
    </w:p>
    <w:p>
      <w:pPr>
        <w:spacing w:line="480" w:lineRule="auto"/>
      </w:pPr>
      <w:r>
        <w:rPr>
          <w:b/>
          <w:i w:val="0"/>
          <w:sz w:val="24"/>
        </w:rPr>
        <w:t>Egy figyelmen kívül hagyott útvonal.</w:t>
      </w:r>
      <w:r>
        <w:rPr>
          <w:b w:val="0"/>
          <w:i w:val="0"/>
          <w:sz w:val="24"/>
        </w:rPr>
        <w:t xml:space="preserve"> A lassuló gyomorürülés, az epesav-anyagcsere és a bélmikrobiom változása az ösztrogének enterohepatikus recirkulációját is érinti: a mikrobiális β-glükuronidáz-aktivitás (az „estrobolóma”) dekonjugálja és reaktiválja a bélbe ürült ösztrogéneket, és ezen keresztül a keringő szintet is befolyásolja [13]. Hogy az inkretin-kezelés ezt az útvonalat merre mozdítja, nem vizsgált kérdés.</w:t>
      </w:r>
    </w:p>
    <w:p>
      <w:pPr>
        <w:spacing w:line="480" w:lineRule="auto"/>
      </w:pPr>
      <w:r>
        <w:rPr>
          <w:b/>
          <w:i w:val="0"/>
          <w:sz w:val="24"/>
        </w:rPr>
        <w:t>A GIP-komponens külön kérdés.</w:t>
      </w:r>
      <w:r>
        <w:rPr>
          <w:b w:val="0"/>
          <w:i w:val="0"/>
          <w:sz w:val="24"/>
        </w:rPr>
        <w:t xml:space="preserve"> A tirzepatid kettős GIP/GLP-1 agonista; a GIP-receptor jelátvitele a zsírsejtben eltérő, a gyomorürülésre gyakorolt hatása pedig kifejezettebb, az első adag után a legjelentősebb, majd tachyphylaxia lép fel [14]. Mechanisztikailag tehát nem vonható össze a GLP-1 receptor agonistákkal, és a jelen áttekintés reproduktív következtetései rá nem terjeszthetők ki.</w:t>
      </w:r>
    </w:p>
    <w:p>
      <w:pPr>
        <w:spacing w:before="240" w:after="80"/>
      </w:pPr>
      <w:r>
        <w:rPr>
          <w:b/>
          <w:sz w:val="24"/>
        </w:rPr>
        <w:t>KLINIKAI BIZONYÍTÉKOK A 8–18 ÉVES KOROSZTÁLYBAN</w:t>
      </w:r>
    </w:p>
    <w:p>
      <w:pPr>
        <w:spacing w:line="480" w:lineRule="auto"/>
      </w:pPr>
      <w:r>
        <w:rPr>
          <w:b w:val="0"/>
          <w:i w:val="0"/>
          <w:sz w:val="24"/>
        </w:rPr>
        <w:t>A korosztályra vonatkozó randomizált bizonyítékokat az 1. táblázat foglalja össze.</w:t>
      </w:r>
    </w:p>
    <w:p>
      <w:pPr>
        <w:spacing w:line="480" w:lineRule="auto"/>
      </w:pPr>
      <w:r>
        <w:rPr>
          <w:b w:val="0"/>
          <w:i w:val="0"/>
          <w:sz w:val="24"/>
        </w:rPr>
        <w:t xml:space="preserve">A </w:t>
      </w:r>
      <w:r>
        <w:rPr>
          <w:b/>
          <w:i w:val="0"/>
          <w:sz w:val="24"/>
        </w:rPr>
        <w:t>szemaglutid</w:t>
      </w:r>
      <w:r>
        <w:rPr>
          <w:b w:val="0"/>
          <w:i w:val="0"/>
          <w:sz w:val="24"/>
        </w:rPr>
        <w:t xml:space="preserve"> STEP TEENS vizsgálatában 201, 12 és 18 év közötti, obes serdülőt randomizáltak heti egyszeri 2,4 mg szemaglutidra vagy placebóra 68 hétre, életmódterápia mellett. A BMI átlagos változása −16,1% volt a szemaglutid- és +0,6% a placebocsoportban (becsült különbség −16,7 százalékpont; 95% CI −20,3 – −13,2). A résztvevők 73%-a ért el legalább 5%-os testsúlycsökkenést a placebocsoport 18%-ával szemben, és javult a derékkörfogat, a HbA1c, a lipidprofil és az ALT-érték is. Gastrointestinalis mellékhatás a kezeltek 62%-ában, a placebocsoport 42%-ában fordult elő, és öt résztvevőnél (4%) epekövesség lépett fel [15]. Post hoc elemzés szerint a szemaglutiddal kezeltek 44,9%-a került vissza a normál testsúly vagy a túlsúly kategóriájába a placebocsoport 12,1%-ával szemben, és legalább egy BMI-kategóriát 73,7%, illetve 19,0% javult – a hatás tehát nem pusztán számszerű, hanem kategóriaváltó [16].</w:t>
      </w:r>
    </w:p>
    <w:p>
      <w:pPr>
        <w:spacing w:line="480" w:lineRule="auto"/>
      </w:pPr>
      <w:r>
        <w:rPr>
          <w:b w:val="0"/>
          <w:i w:val="0"/>
          <w:sz w:val="24"/>
        </w:rPr>
        <w:t xml:space="preserve">A </w:t>
      </w:r>
      <w:r>
        <w:rPr>
          <w:b/>
          <w:i w:val="0"/>
          <w:sz w:val="24"/>
        </w:rPr>
        <w:t>liraglutid</w:t>
      </w:r>
      <w:r>
        <w:rPr>
          <w:b w:val="0"/>
          <w:i w:val="0"/>
          <w:sz w:val="24"/>
        </w:rPr>
        <w:t xml:space="preserve"> a 12–18 éves sávban 251 résztvevőn, 56 hetes kezelés mellett szignifikánsan nagyobb BMI-standard deviációs pontszám-csökkenést eredményezett, mint a placebo (becsült különbség −0,22; 95% CI −0,37 – −0,08); legalább 5%-os BMI-csökkenést a kezeltek 43,3%-a, a placebocsoport 18,7%-a ért el. A 26 hetes utánkövetési szakaszban a BMI-standard deviációs pontszám a liraglutid-csoportban emelkedett nagyobb mértékben, vagyis az elért előny jelentős része elveszett a kezelés elhagyása után [17]. A gyermekgyógyászati indikáció lefelé is kiterjedt: a 6 és 12 év közötti, obes gyermekeken végzett III. fázisú vizsgálatban (n = 82) a BMI átlagos változása −5,8% volt liraglutiddal és +1,6% placebóval (becsült különbség −7,4 százalékpont; 95% CI −11,6 – −3,2) [18]. A gyermeknőgyógyász számára ez azért lényeges, mert a 8–12 éves sáv éppen az az időablak, amelyben a korai adrenarche és a korai menarche kockázata a testzsírtömeggel a legszorosabban összefügg.</w:t>
      </w:r>
    </w:p>
    <w:p>
      <w:pPr>
        <w:spacing w:line="480" w:lineRule="auto"/>
      </w:pPr>
      <w:r>
        <w:rPr>
          <w:b w:val="0"/>
          <w:i w:val="0"/>
          <w:sz w:val="24"/>
        </w:rPr>
        <w:t xml:space="preserve">A </w:t>
      </w:r>
      <w:r>
        <w:rPr>
          <w:b/>
          <w:i w:val="0"/>
          <w:sz w:val="24"/>
        </w:rPr>
        <w:t>2-es típusú diabetesszel élő serdülők</w:t>
      </w:r>
      <w:r>
        <w:rPr>
          <w:b w:val="0"/>
          <w:i w:val="0"/>
          <w:sz w:val="24"/>
        </w:rPr>
        <w:t xml:space="preserve"> kezelésében a liraglutid – önmagában és metforminnal kombinálva is – a leghatékonyabb HbA1c-csökkentő szerek közé tartozott a 10–17 évesekre vonatkozó hálózati metaanalízisben [19]. A </w:t>
      </w:r>
      <w:r>
        <w:rPr>
          <w:b/>
          <w:i w:val="0"/>
          <w:sz w:val="24"/>
        </w:rPr>
        <w:t>tirzepatid</w:t>
      </w:r>
      <w:r>
        <w:rPr>
          <w:b w:val="0"/>
          <w:i w:val="0"/>
          <w:sz w:val="24"/>
        </w:rPr>
        <w:t>, a GIP/GLP-1 kettős agonista, 18 év alatt még nem törzskönyvezett; a SURMOUNT-programok post hoc elemzése ugyanakkor azt mutatta, hogy a korai kezdetű (25 éves kor előtt diagnosztizált) obesitasban szenvedők hosszabb betegségtartammal és magasabb kiindulási BMI-vel lépnek be a kezelésbe, vagyis éppen ez a csoport hordozza a legnagyobb halmozott kockázatot [20].</w:t>
      </w:r>
    </w:p>
    <w:p>
      <w:pPr>
        <w:spacing w:line="480" w:lineRule="auto"/>
      </w:pPr>
      <w:r>
        <w:rPr>
          <w:b w:val="0"/>
          <w:i w:val="0"/>
          <w:sz w:val="24"/>
        </w:rPr>
        <w:t>A hatásosság tehát jól dokumentált, a hosszú távú biztonságosság viszont nem: a leghosszabb randomizált követés 68 hét, ami egy potenciálisan évtizedes kezelés mellett rövid.</w:t>
      </w:r>
    </w:p>
    <w:p>
      <w:pPr>
        <w:spacing w:line="480" w:lineRule="auto"/>
      </w:pPr>
      <w:r>
        <w:rPr>
          <w:b w:val="0"/>
          <w:i w:val="0"/>
          <w:sz w:val="24"/>
        </w:rPr>
        <w:t>A bizonyítékok szerkezetéből két hiány rajzolódik ki: valamennyi idézett vizsgálat elsődleges végpontja antropometriai, és a nemek szerinti bontás rendszerint hiányzik az eredményközlésből, így a leányokra vonatkozó hatásbecslés külön nem áll rendelkezésre. A reproduktív mérleg tehát nem azért bizonytalan, mert az adatok ellentmondásosak, hanem mert ezeket a kérdéseket eddig nem tették fel.</w:t>
      </w:r>
    </w:p>
    <w:p>
      <w:pPr>
        <w:spacing w:before="240" w:after="80"/>
      </w:pPr>
      <w:r>
        <w:rPr>
          <w:b/>
          <w:sz w:val="24"/>
        </w:rPr>
        <w:t>ÖT HATÁSDOMÉN</w:t>
      </w:r>
    </w:p>
    <w:p>
      <w:pPr>
        <w:spacing w:before="160" w:after="40"/>
      </w:pPr>
      <w:r>
        <w:rPr>
          <w:b/>
          <w:sz w:val="24"/>
        </w:rPr>
        <w:t>1. Testsúly és testösszetétel</w:t>
      </w:r>
    </w:p>
    <w:p>
      <w:pPr>
        <w:spacing w:line="480" w:lineRule="auto"/>
      </w:pPr>
      <w:r>
        <w:rPr>
          <w:b w:val="0"/>
          <w:i w:val="0"/>
          <w:sz w:val="24"/>
        </w:rPr>
        <w:t>A testsúlyhatás mértéke a serdülőkorban meghaladja a felnőttkorban megszokottat. A klinikai jelentőség nem a kilogrammban, hanem a zsigeri zsírtömeg és a derékkörfogat csökkenésében rejlik, mert a hormonális következmények ehhez kötődnek [15]. A gyors testsúlycsökkenés ugyanakkor a növekedésben lévő szervezetben az izomtömeg és a csúcscsonttömeg rovására is mehet, és erre vonatkozó hosszú távú adat a korosztályban nincs.</w:t>
      </w:r>
    </w:p>
    <w:p>
      <w:pPr>
        <w:spacing w:before="160" w:after="40"/>
      </w:pPr>
      <w:r>
        <w:rPr>
          <w:b/>
          <w:sz w:val="24"/>
        </w:rPr>
        <w:t>2. Szteroidhormon-mintázat</w:t>
      </w:r>
    </w:p>
    <w:p>
      <w:pPr>
        <w:spacing w:line="480" w:lineRule="auto"/>
      </w:pPr>
      <w:r>
        <w:rPr>
          <w:b w:val="0"/>
          <w:i w:val="0"/>
          <w:sz w:val="24"/>
        </w:rPr>
        <w:t>A fentebb leírt hepatikus-metabolikus lánc klinikai bizonyítéka döntően felnőtt PCOS-populációból származik. Metaanalízis szerint az inkretin-alapú kezelés a metforminnál kedvezőbben befolyásolja a testsúlyt és az inzulinrezisztenciát, és javítja a menstruációs mutatókat [21]. Randomizált vizsgálatokban a hetente adott exenatid kedvezően alakította a testösszetételt és a nemi hormonok mintázatát [22], illetve hatékonyan kezelte a PCOS-hoz társuló praediabetest [23]. Az SGLT2-gátlókat is értékelő újabb hálózati metaanalízis megerősíti az előnyt, de a vizsgálatok rövid időtartamára figyelmeztet [24].</w:t>
      </w:r>
    </w:p>
    <w:p>
      <w:pPr>
        <w:spacing w:line="480" w:lineRule="auto"/>
      </w:pPr>
      <w:r>
        <w:rPr>
          <w:b w:val="0"/>
          <w:i w:val="0"/>
          <w:sz w:val="24"/>
        </w:rPr>
        <w:t>A serdülőkori átültetés korlátja nyilvánvaló: ezek a vizsgálatok 18 év feletti nőkön készültek, és a serdülőkori ciklusszabályozás nem hormonális eszköztárában a bizonyíték gyér [25].</w:t>
      </w:r>
    </w:p>
    <w:p>
      <w:pPr>
        <w:spacing w:line="480" w:lineRule="auto"/>
      </w:pPr>
      <w:r>
        <w:rPr>
          <w:b w:val="0"/>
          <w:i w:val="0"/>
          <w:sz w:val="24"/>
        </w:rPr>
        <w:t>Külön figyelmet érdemel a mérés módja. Női, különösen serdülőkori koncentrációtartományban a direkt tesztoszteron-immunoassay pontatlan; referenciamódszer a folyadékkromatográfiával kapcsolt tandem tömegspektrometria, a szabad frakciót pedig összes tesztoszteronból és SHBG-ből számítva kell megadni. Ennek elmulasztása a gyakorlatban az ellenkező irányba téveszt: túlsúlyos, hyperandrogen betegben az alacsony SHBG a mért összes tesztoszteront a normáltartományba húzhatja, és így elfedheti az androgéntúlsúlyt [26].</w:t>
      </w:r>
    </w:p>
    <w:p>
      <w:pPr>
        <w:spacing w:before="160" w:after="40"/>
      </w:pPr>
      <w:r>
        <w:rPr>
          <w:b/>
          <w:sz w:val="24"/>
        </w:rPr>
        <w:t>3. Nemi érés és ciklusműködés</w:t>
      </w:r>
    </w:p>
    <w:p>
      <w:pPr>
        <w:spacing w:line="480" w:lineRule="auto"/>
      </w:pPr>
      <w:r>
        <w:rPr>
          <w:b w:val="0"/>
          <w:i w:val="0"/>
          <w:sz w:val="24"/>
        </w:rPr>
        <w:t>Ez a hatásdomén a leggyengébben dokumentált és klinikailag a legérzékenyebb. A kezelés hatására a menstruációs frekvencia javul, és nő az ovulációs ciklusok aránya – ez azonban felnőttkori megfigyelés, amely a súlycsökkenés ismert hatásával is magyarázható [21, 24]. A nemi érés időzítésére vonatkozóan azonban inkretin-kezelés mellett emberi adat gyakorlatilag nincs. A fentebb tárgyalt mechanizmusok alapján két, ellentétes irányú hatás képzelhető el: a zsírtömeg csökkenése a leptin–kisspeptin jel gyengítésén át késleltetheti a pubertást [7], a GLP-1 feltételezett közvetlen hypothalamikus hatása viszont – az állatkísérletes adatok alapján – akár szinkronizálhatja is [10].</w:t>
      </w:r>
    </w:p>
    <w:p>
      <w:pPr>
        <w:spacing w:line="480" w:lineRule="auto"/>
      </w:pPr>
      <w:r>
        <w:rPr>
          <w:b w:val="0"/>
          <w:i w:val="0"/>
          <w:sz w:val="24"/>
        </w:rPr>
        <w:t>Külön mérlegelést kíván a ciklusrendeződés kettős természete. A menstruációs frekvencia javulása a legkézzelfoghatóbb sikerélmény, klinikailag azonban egyszerre kedvező és kockázatos: az anovulációs ciklusok arányának csökkenése védi az endometriumot, a helyreálló ovuláció viszont megemeli a nem tervezett terhesség kockázatát egy olyan időszakban, amelyben a magzati expozíció biztonságossága nem tisztázott. A ciklus rendeződése tehát nem a gondozás lezárása, hanem a fogamzásgátlási konzultáció kiváltó oka.</w:t>
      </w:r>
    </w:p>
    <w:p>
      <w:pPr>
        <w:spacing w:line="480" w:lineRule="auto"/>
      </w:pPr>
      <w:r>
        <w:rPr>
          <w:b w:val="0"/>
          <w:i w:val="0"/>
          <w:sz w:val="24"/>
        </w:rPr>
        <w:t>Gyakorlati következtetés: 8–14 éves leánynál a kezelés alatt a Tanner-stádium, a növekedési sebesség és a csontkor dokumentált követése nem opcionális, hanem a kezelés része. A követés intervalluma a kezelés első évében háromhavonta, később félévente indokolt, és minden ellenőrzésnél rögzíteni kell a ciklusnaplót is.</w:t>
      </w:r>
    </w:p>
    <w:p>
      <w:pPr>
        <w:spacing w:before="160" w:after="40"/>
      </w:pPr>
      <w:r>
        <w:rPr>
          <w:b/>
          <w:sz w:val="24"/>
        </w:rPr>
        <w:t>4. Gyulladás</w:t>
      </w:r>
    </w:p>
    <w:p>
      <w:pPr>
        <w:spacing w:line="480" w:lineRule="auto"/>
      </w:pPr>
      <w:r>
        <w:rPr>
          <w:b w:val="0"/>
          <w:i w:val="0"/>
          <w:sz w:val="24"/>
        </w:rPr>
        <w:t>A szemaglutid gyulladáscsökkentő hatását 13 randomizált vizsgálat, 26 131 résztvevő adatain alapuló metaanalízis igazolta: a CRP-index a placebóhoz képest szignifikánsan alacsonyabb volt (SMD −0,56; 95% CI −0,69 – −0,43), a diabetes fennállásától és az alkalmazási módtól függetlenül [11]. Az orális szemaglutiddal végzett metaanalízis a kardiometabolikus paraméterek javulása mellett kedvező kardiovaszkuláris eseményhatást is jelzett [27], a mozgásszervi kivetülést pedig a térdarthrosisban mért fájdalomcsökkenés mutatja (WOMAC átlagos különbség −0,90; 95% CI −1,48 – −0,32) [28]. A serdülőkori adat itt is hiányzik, a mechanizmus azonban életkortól függetlennek tekinthető – ez az a hatásdomén, amelynek átültetése a felnőtt adatokból a legkevésbé problematikus.</w:t>
      </w:r>
    </w:p>
    <w:p>
      <w:pPr>
        <w:spacing w:before="160" w:after="40"/>
      </w:pPr>
      <w:r>
        <w:rPr>
          <w:b/>
          <w:sz w:val="24"/>
        </w:rPr>
        <w:t>5. Élettartam-kockázat (longevity)</w:t>
      </w:r>
    </w:p>
    <w:p>
      <w:pPr>
        <w:spacing w:line="480" w:lineRule="auto"/>
      </w:pPr>
      <w:r>
        <w:rPr>
          <w:b w:val="0"/>
          <w:i w:val="0"/>
          <w:sz w:val="24"/>
        </w:rPr>
        <w:t>A serdülőkori beavatkozás igazi tétje az expozíciós idő. A Women's Health Initiative longitudinális elemzése szerint a felnőttkori túlsúly és elhízás *időtartama* önálló, dózisfüggő módon emeli a daganatkockázatot – vagyis nem csupán az számít, hogy valaki obes-e, hanem az is, hogy hány éven át [29]. Egy nagy kohorszvizsgálat azt mutatta, hogy a serdülőkortól középkorig tartó fizikai aktivitás és az endometriumcarcinoma közötti összefüggést jelentős részben a középkori BMI közvetíti [30]. Ha tehát egy 14 éves leány BMI-trajektóriája megtörik, az nem egy megbetegedést előz meg, hanem évtizednyi expozíciót rövidít le. Ez a megfontolás magyarázza azt is, hogy a serdülőkori beavatkozás miért térhet el elvileg a felnőttkoritól: ugyanaz a százalékos testsúlycsökkenés a serdülőnél lényegesen több megtakarított expozíciós évet jelent, miközben a kezelés kockázatai – a hosszú expozíció miatt – szintén nagyobbak. A kettő mérlege ma nem mérhető, csak modellezhető.</w:t>
      </w:r>
    </w:p>
    <w:p>
      <w:pPr>
        <w:spacing w:line="480" w:lineRule="auto"/>
      </w:pPr>
      <w:r>
        <w:rPr>
          <w:b w:val="0"/>
          <w:i w:val="0"/>
          <w:sz w:val="24"/>
        </w:rPr>
        <w:t>Ide tartozik az is, hogy a kockázatcsökkenés nem kizárólag a fogyás következménye: a SELECT vizsgálatban a szemaglutid 20%-kal csökkentette a major kardiovaszkuláris események kockázatát [31], miközben az elért testsúlycsökkenés négy év alatt átlagosan 10,2% volt [32] – ez a diszkrepancia, a vérnyomás-, lipid-, vércukor- és gyulladásos markerek javulásával együtt [27, 11], részben testsúlyfüggetlen hatásra utal. A vizsgálat populációja azonban 45 év feletti, kardiovaszkuláris betegségben szenvedő felnőtt, így a serdülőkori átültetés feltételezés.</w:t>
      </w:r>
    </w:p>
    <w:p>
      <w:pPr>
        <w:spacing w:line="480" w:lineRule="auto"/>
      </w:pPr>
      <w:r>
        <w:rPr>
          <w:b w:val="0"/>
          <w:i w:val="0"/>
          <w:sz w:val="24"/>
        </w:rPr>
        <w:t>Ugyanide tartozik a reproduktív kimenet is: az anyai obesitas a gestatiós diabetes, a krónikus hypertonia és a praeeclampsia, valamint a magzati szövődmények kockázatát emeli, és a beavatkozásnak a preconceptionalis időszakban kell megtörténnie [33]. Az endometriosis kapcsolata ellentmondásosabb: metaanalízis szerint minden 5 kg/m² BMI-emelkedés az endometriosis kockázatának csökkenésével jár (RR 0,67; 95% CI 0,53–0,84) [34], a fennálló obesitas ugyanakkor súlyosabb betegséglefolyással társul [35] – vagyis itt nem a kockázat, hanem a fenotípus súlyossága a beavatkozás célpontja.</w:t>
      </w:r>
    </w:p>
    <w:p>
      <w:pPr>
        <w:spacing w:before="240" w:after="80"/>
      </w:pPr>
      <w:r>
        <w:rPr>
          <w:b/>
          <w:sz w:val="24"/>
        </w:rPr>
        <w:t>GYERMEKNŐGYÓGYÁSZATI GYAKORLATI MEGFONTOLÁSOK</w:t>
      </w:r>
    </w:p>
    <w:p>
      <w:pPr>
        <w:spacing w:line="480" w:lineRule="auto"/>
      </w:pPr>
      <w:r>
        <w:rPr>
          <w:b/>
          <w:i w:val="0"/>
          <w:sz w:val="24"/>
        </w:rPr>
        <w:t>Indikáció.</w:t>
      </w:r>
      <w:r>
        <w:rPr>
          <w:b w:val="0"/>
          <w:i w:val="0"/>
          <w:sz w:val="24"/>
        </w:rPr>
        <w:t xml:space="preserve"> A kezelés 12 éves kor felett, a 95. percentilist elérő vagy meghaladó BMI mellett, strukturált életmódterápia kiegészítéseként indokolt [1]; az oligomenorrhoea vagy a hyperandrogen fenotípus önmagában nem indikáció, de a mérlegelést erősíti.</w:t>
      </w:r>
    </w:p>
    <w:p>
      <w:pPr>
        <w:spacing w:line="480" w:lineRule="auto"/>
      </w:pPr>
      <w:r>
        <w:rPr>
          <w:b/>
          <w:i w:val="0"/>
          <w:sz w:val="24"/>
        </w:rPr>
        <w:t>Fogamzásgátlás, gyógyszerkölcsönhatás és washout.</w:t>
      </w:r>
      <w:r>
        <w:rPr>
          <w:b w:val="0"/>
          <w:i w:val="0"/>
          <w:sz w:val="24"/>
        </w:rPr>
        <w:t xml:space="preserve"> Ez a legfontosabb, rendszeresen elmulasztott pont, és három külön döntést igényel. *Először*, a szexuálisan aktív serdülőnél a kezelés megkezdése előtt hatékony fogamzásgátlásról kell gondoskodni, mert a spontán fogamzóképesség a ciklusrendeződéssel érdemben javulhat, a perikoncepcionális biztonságosság viszont nem tisztázott [36]. *Másodszor*, a fogamzásgátló módszer megválasztásakor a lassult gyomorürülés hatását hatóanyagonként kell mérlegelni, nem osztályszinten: a GLP-1 receptor agonisták az orális hormonális fogamzásgátlók biohasznosulását a vizsgálatokban nem befolyásolták érdemben, a tirzepatid mellett viszont az orális fogamzásgátló görbe alatti területe, csúcskoncentrációja és a csúcs eléréséig eltelt idő is szignifikánsan változott, ezért itt nem orális módszer vagy kiegészítő védelem indokolt a kezelés indításakor és minden dózisemeléskor [14, 5]. *Harmadszor*, tervezett terhesség előtt a készítményt a felezési idejének megfelelő idővel korábban kell elhagyni: a liraglutid órás nagyságrendű felezési ideje mellett ez néhány nap, a közel egyhetes felezési idejű szemaglutid és tirzepatid esetében viszont a gyakorlatilag teljes kiürüléshez legalább öt hét szükséges, és az alkalmazási előírás ennél is óvatosabb, több hónapos elhagyást ír elő [5]. A konkrét intervallumot minden esetben az érvényes alkalmazási előírással kell egyeztetni.</w:t>
      </w:r>
    </w:p>
    <w:p>
      <w:pPr>
        <w:spacing w:line="480" w:lineRule="auto"/>
      </w:pPr>
      <w:r>
        <w:rPr>
          <w:b/>
          <w:i w:val="0"/>
          <w:sz w:val="24"/>
        </w:rPr>
        <w:t>Evészavar.</w:t>
      </w:r>
      <w:r>
        <w:rPr>
          <w:b w:val="0"/>
          <w:i w:val="0"/>
          <w:sz w:val="24"/>
        </w:rPr>
        <w:t xml:space="preserve"> Az obes serdülők körében a rendezetlen táplálkozási magatartás gyakoribb, a gyógyszeres vizsgálatokban azonban a szűrés és követés adatai feltűnően hiányosak; a pszichoszociális kimenetek – kontrollvesztéses evés, szuicid rizikó, depresszió, szorongás – követése a kezelés teljes tartama alatt javasolt [37].</w:t>
      </w:r>
    </w:p>
    <w:p>
      <w:pPr>
        <w:spacing w:line="480" w:lineRule="auto"/>
      </w:pPr>
      <w:r>
        <w:rPr>
          <w:b/>
          <w:i w:val="0"/>
          <w:sz w:val="24"/>
        </w:rPr>
        <w:t>A kezelés abbahagyása.</w:t>
      </w:r>
      <w:r>
        <w:rPr>
          <w:b w:val="0"/>
          <w:i w:val="0"/>
          <w:sz w:val="24"/>
        </w:rPr>
        <w:t xml:space="preserve"> A STEP 1 kiterjesztésében a kezelés elhagyása után egy éven belül a leadott testsúly mintegy kétharmada visszatért, és a kardiometabolikus előny nagyrészt megszűnt [38]; a serdülőkori liraglutid-vizsgálat hasonló irányt mutatott [17]. Ez a betegtájékoztatás része: nem kúráról, hanem krónikus kezelésről van szó.</w:t>
      </w:r>
    </w:p>
    <w:p>
      <w:pPr>
        <w:spacing w:line="480" w:lineRule="auto"/>
      </w:pPr>
      <w:r>
        <w:rPr>
          <w:b/>
          <w:i w:val="0"/>
          <w:sz w:val="24"/>
        </w:rPr>
        <w:t>Biztonságosság.</w:t>
      </w:r>
      <w:r>
        <w:rPr>
          <w:b w:val="0"/>
          <w:i w:val="0"/>
          <w:sz w:val="24"/>
        </w:rPr>
        <w:t xml:space="preserve"> A gastrointestinalis panaszok gyakoriak, többnyire átmenetiek, és a serdülőkori vizsgálatokban a placebónál lényegesen gyakoribbak voltak (STEP TEENS 62% vs. 42%; SCALE Kids 80% vs. 54%) [15, 18]. Az epekövesség kockázata a gyors súlycsökkenéssel emelkedik, és a STEP TEENS-ben öt résztvevőnél (4%) klinikailag megjelent [15]. A pancreatitis osztályszintű, ritka, de súlyos szövődmény. Külön kiemelendő a pszichiátriai monitorozás igénye: a SCALE Teens vizsgálatban a liraglutid-karon egy befejezett öngyilkosság történt, amelyet a vizsgáló a kezeléssel valószínűleg nem összefüggőnek ítélt [17]; az ok-okozati kapcsolat nem igazolt, a hangulat és a szuicid rizikó strukturált követése azonban ebben a korosztályban ettől függetlenül kötelező. A pajzsmirigy C-sejtes daganat családi halmozódása és a MEN2 kontraindikációt jelent.</w:t>
      </w:r>
    </w:p>
    <w:p>
      <w:pPr>
        <w:spacing w:line="480" w:lineRule="auto"/>
      </w:pPr>
      <w:r>
        <w:rPr>
          <w:b/>
          <w:i w:val="0"/>
          <w:sz w:val="24"/>
        </w:rPr>
        <w:t>Csont- és izomtömeg.</w:t>
      </w:r>
      <w:r>
        <w:rPr>
          <w:b w:val="0"/>
          <w:i w:val="0"/>
          <w:sz w:val="24"/>
        </w:rPr>
        <w:t xml:space="preserve"> A serdülőkor a csúcscsonttömeg kialakulásának időablaka, és hosszú távú adat a korosztályban nincs, ezért a megfelelő fehérjebevitel, a D-vitamin-ellátottság és a terheléses mozgásforma a kezelés kísérő eleme, nem kiegészítése.</w:t>
      </w:r>
    </w:p>
    <w:p>
      <w:pPr>
        <w:spacing w:line="480" w:lineRule="auto"/>
      </w:pPr>
      <w:r>
        <w:rPr>
          <w:b/>
          <w:i w:val="0"/>
          <w:sz w:val="24"/>
        </w:rPr>
        <w:t>Adherencia és gondozási keret.</w:t>
      </w:r>
      <w:r>
        <w:rPr>
          <w:b w:val="0"/>
          <w:i w:val="0"/>
          <w:sz w:val="24"/>
        </w:rPr>
        <w:t xml:space="preserve"> A serdülőkori adherenciát az injekciós forma, a mellékhatások és a testképpel kapcsolatos ambivalencia egyaránt rontja, ezért a kezelés csak strukturált, multidiszciplináris keretben indokolt. A gyermeknőgyógyász sajátos szerepe ebben a reproduktív kockázat felismerése és követése, amelyet a többi szereplő jellemzően nem fed le.</w:t>
      </w:r>
    </w:p>
    <w:p>
      <w:pPr>
        <w:spacing w:before="240" w:after="80"/>
      </w:pPr>
      <w:r>
        <w:rPr>
          <w:b/>
          <w:sz w:val="24"/>
        </w:rPr>
        <w:t>AZ ÉLETÚT-MODELL</w:t>
      </w:r>
    </w:p>
    <w:p>
      <w:pPr>
        <w:spacing w:line="480" w:lineRule="auto"/>
      </w:pPr>
      <w:r>
        <w:rPr>
          <w:b w:val="0"/>
          <w:i w:val="0"/>
          <w:sz w:val="24"/>
        </w:rPr>
        <w:t xml:space="preserve">A 2. ábra három pályát követ a praepubertastól az időskorig. Az </w:t>
      </w:r>
      <w:r>
        <w:rPr>
          <w:b/>
          <w:i w:val="0"/>
          <w:sz w:val="24"/>
        </w:rPr>
        <w:t>A pálya</w:t>
      </w:r>
      <w:r>
        <w:rPr>
          <w:b w:val="0"/>
          <w:i w:val="0"/>
          <w:sz w:val="24"/>
        </w:rPr>
        <w:t xml:space="preserve"> (normál testalkatú leány) a referenciaút. A </w:t>
      </w:r>
      <w:r>
        <w:rPr>
          <w:b/>
          <w:i w:val="0"/>
          <w:sz w:val="24"/>
        </w:rPr>
        <w:t>B pályán</w:t>
      </w:r>
      <w:r>
        <w:rPr>
          <w:b w:val="0"/>
          <w:i w:val="0"/>
          <w:sz w:val="24"/>
        </w:rPr>
        <w:t xml:space="preserve"> a korai adrenarche és menarche után oligomenorrhoea és hyperandrogenismus jelenik meg, a reproduktív korban PCOS-fenotípus rögzül és anovulációs infertilitás alakul ki, majd gestatiós diabetes, hypertensiv kórképek, később endometrium- és emlőcarcinoma, valamint mozgásszervi és autoimmun terhek halmozódnak. A </w:t>
      </w:r>
      <w:r>
        <w:rPr>
          <w:b/>
          <w:i w:val="0"/>
          <w:sz w:val="24"/>
        </w:rPr>
        <w:t>C pálya</w:t>
      </w:r>
      <w:r>
        <w:rPr>
          <w:b w:val="0"/>
          <w:i w:val="0"/>
          <w:sz w:val="24"/>
        </w:rPr>
        <w:t xml:space="preserve"> azt mutatja, amelyben a serdülőkorban megkezdett és tartósan fenntartott kezelés megtöri a trajektóriát.</w:t>
      </w:r>
    </w:p>
    <w:p>
      <w:pPr>
        <w:spacing w:line="480" w:lineRule="auto"/>
      </w:pPr>
      <w:r>
        <w:rPr>
          <w:b w:val="0"/>
          <w:i w:val="0"/>
          <w:sz w:val="24"/>
        </w:rPr>
        <w:t xml:space="preserve">A pályák közötti különbség végpontonként eltérő erősségű bizonyítékon nyugszik, és ezt nem szabad összemosni. A </w:t>
      </w:r>
      <w:r>
        <w:rPr>
          <w:b/>
          <w:i w:val="0"/>
          <w:sz w:val="24"/>
        </w:rPr>
        <w:t>2-es típusú diabetes</w:t>
      </w:r>
      <w:r>
        <w:rPr>
          <w:b w:val="0"/>
          <w:i w:val="0"/>
          <w:sz w:val="24"/>
        </w:rPr>
        <w:t xml:space="preserve">, a </w:t>
      </w:r>
      <w:r>
        <w:rPr>
          <w:b/>
          <w:i w:val="0"/>
          <w:sz w:val="24"/>
        </w:rPr>
        <w:t>hypertonia</w:t>
      </w:r>
      <w:r>
        <w:rPr>
          <w:b w:val="0"/>
          <w:i w:val="0"/>
          <w:sz w:val="24"/>
        </w:rPr>
        <w:t xml:space="preserve"> és a </w:t>
      </w:r>
      <w:r>
        <w:rPr>
          <w:b/>
          <w:i w:val="0"/>
          <w:sz w:val="24"/>
        </w:rPr>
        <w:t>gestatiós diabetes</w:t>
      </w:r>
      <w:r>
        <w:rPr>
          <w:b w:val="0"/>
          <w:i w:val="0"/>
          <w:sz w:val="24"/>
        </w:rPr>
        <w:t xml:space="preserve"> esetében a metabolikus közvetítő út mérésekkel alátámasztott [27, 33]; a </w:t>
      </w:r>
      <w:r>
        <w:rPr>
          <w:b/>
          <w:i w:val="0"/>
          <w:sz w:val="24"/>
        </w:rPr>
        <w:t>PCOS-fenotípus</w:t>
      </w:r>
      <w:r>
        <w:rPr>
          <w:b w:val="0"/>
          <w:i w:val="0"/>
          <w:sz w:val="24"/>
        </w:rPr>
        <w:t xml:space="preserve"> és az </w:t>
      </w:r>
      <w:r>
        <w:rPr>
          <w:b/>
          <w:i w:val="0"/>
          <w:sz w:val="24"/>
        </w:rPr>
        <w:t>anovulációs infertilitás</w:t>
      </w:r>
      <w:r>
        <w:rPr>
          <w:b w:val="0"/>
          <w:i w:val="0"/>
          <w:sz w:val="24"/>
        </w:rPr>
        <w:t xml:space="preserve"> esetében felnőttkori randomizált adatok extrapolációjáról van szó [21, 24]; a </w:t>
      </w:r>
      <w:r>
        <w:rPr>
          <w:b/>
          <w:i w:val="0"/>
          <w:sz w:val="24"/>
        </w:rPr>
        <w:t>daganatos kimenetnél</w:t>
      </w:r>
      <w:r>
        <w:rPr>
          <w:b w:val="0"/>
          <w:i w:val="0"/>
          <w:sz w:val="24"/>
        </w:rPr>
        <w:t xml:space="preserve"> nem közvetlen gyógyszerhatásról, hanem az expozíciós idő rövidüléséről [29, 30]; az </w:t>
      </w:r>
      <w:r>
        <w:rPr>
          <w:b/>
          <w:i w:val="0"/>
          <w:sz w:val="24"/>
        </w:rPr>
        <w:t>endometriosisnál</w:t>
      </w:r>
      <w:r>
        <w:rPr>
          <w:b w:val="0"/>
          <w:i w:val="0"/>
          <w:sz w:val="24"/>
        </w:rPr>
        <w:t xml:space="preserve"> nem a kockázat, hanem a lefolyás súlyossága a célpont [35]; a </w:t>
      </w:r>
      <w:r>
        <w:rPr>
          <w:b/>
          <w:i w:val="0"/>
          <w:sz w:val="24"/>
        </w:rPr>
        <w:t>mozgásszervi teher</w:t>
      </w:r>
      <w:r>
        <w:rPr>
          <w:b w:val="0"/>
          <w:i w:val="0"/>
          <w:sz w:val="24"/>
        </w:rPr>
        <w:t xml:space="preserve"> csökkenése részben gyulladásos, részben mechanikai eredetű [28].</w:t>
      </w:r>
    </w:p>
    <w:p>
      <w:pPr>
        <w:spacing w:line="480" w:lineRule="auto"/>
      </w:pPr>
      <w:r>
        <w:rPr>
          <w:b w:val="0"/>
          <w:i w:val="0"/>
          <w:sz w:val="24"/>
        </w:rPr>
        <w:t>A modell két üzenete lényeges: a beavatkozás haszna nem egyetlen kimeneten jelentkezik, hanem szétterül az életúton – végpontonként szerény, összegezve viszont jelentős –, és a haszon a kezelés folytonosságától függ, mert a B-ből C-be történő átlépés visszafordítható.</w:t>
      </w:r>
    </w:p>
    <w:p>
      <w:pPr>
        <w:spacing w:before="240" w:after="80"/>
      </w:pPr>
      <w:r>
        <w:rPr>
          <w:b/>
          <w:sz w:val="24"/>
        </w:rPr>
        <w:t>KORLÁTOK ÉS NYITOTT KÉRDÉSEK</w:t>
      </w:r>
    </w:p>
    <w:p>
      <w:pPr>
        <w:spacing w:line="480" w:lineRule="auto"/>
      </w:pPr>
      <w:r>
        <w:rPr>
          <w:b w:val="0"/>
          <w:i w:val="0"/>
          <w:sz w:val="24"/>
        </w:rPr>
        <w:t>Áttekintésünk legfontosabb korlátja, hogy a reproduktív végpontokra vonatkozó bizonyíték szinte kizárólag felnőtt populációból származik, és ennek serdülőkori átültetése feltételezés, nem adat. A leghosszabb randomizált követés 68 hét. A keresés nem szisztematikus, egy szerző végezte, ezért szelekciós torzítás nem zárható ki.</w:t>
      </w:r>
    </w:p>
    <w:p>
      <w:pPr>
        <w:spacing w:line="480" w:lineRule="auto"/>
      </w:pPr>
      <w:r>
        <w:rPr>
          <w:b w:val="0"/>
          <w:i w:val="0"/>
          <w:sz w:val="24"/>
        </w:rPr>
        <w:t xml:space="preserve">Ezek a korlátok azonban nem egyformák: egy részük a bizonyítékok hiányából ered, és megszüntethető. A korosztályra vonatkozó hiányok jól körülhatárolhatók, és mindegyikhez megnevezhető az a vizsgálat, amely feloldaná. </w:t>
      </w:r>
      <w:r>
        <w:rPr>
          <w:b/>
          <w:i w:val="0"/>
          <w:sz w:val="24"/>
        </w:rPr>
        <w:t>Nincs olyan vizsgálat, amely a pubertásfejlődés időzítését – Tanner-stádium, csontkor, végleges testmagasság – elsődleges végpontként kezelné</w:t>
      </w:r>
      <w:r>
        <w:rPr>
          <w:b w:val="0"/>
          <w:i w:val="0"/>
          <w:sz w:val="24"/>
        </w:rPr>
        <w:t xml:space="preserve">, és egyik sem mérte a fentebb tárgyalt ötödik, ellentétes irányú mechanizmust sem; ehhez a 4. táblázatban megadott mérési minimummal tervezett, legalább kétéves követésű vizsgálat kellene. </w:t>
      </w:r>
      <w:r>
        <w:rPr>
          <w:b/>
          <w:i w:val="0"/>
          <w:sz w:val="24"/>
        </w:rPr>
        <w:t>Nincs randomizált adat a serdülőkori PCOS-ra mint indikációra</w:t>
      </w:r>
      <w:r>
        <w:rPr>
          <w:b w:val="0"/>
          <w:i w:val="0"/>
          <w:sz w:val="24"/>
        </w:rPr>
        <w:t xml:space="preserve">, és ismeretlen a csúcscsonttömegre gyakorolt hatás. </w:t>
      </w:r>
      <w:r>
        <w:rPr>
          <w:b/>
          <w:i w:val="0"/>
          <w:sz w:val="24"/>
        </w:rPr>
        <w:t>Nem tisztázott a kezelés optimális időtartama és a leszoktatási stratégia</w:t>
      </w:r>
      <w:r>
        <w:rPr>
          <w:b w:val="0"/>
          <w:i w:val="0"/>
          <w:sz w:val="24"/>
        </w:rPr>
        <w:t xml:space="preserve">: az évtizedes kezelés serdülőkori megkezdése olyan kötelezettséget teremt, amelynek tartós biztonságossági adatai hiányoznak. Végül </w:t>
      </w:r>
      <w:r>
        <w:rPr>
          <w:b/>
          <w:i w:val="0"/>
          <w:sz w:val="24"/>
        </w:rPr>
        <w:t>hiányzik a terhességi regiszterekből származó, elegendő esetszámú perikoncepcionális biztonságossági adat</w:t>
      </w:r>
      <w:r>
        <w:rPr>
          <w:b w:val="0"/>
          <w:i w:val="0"/>
          <w:sz w:val="24"/>
        </w:rPr>
        <w:t>, ami éppen a reproduktív korba lépő kezelt populációban a legfontosabb.</w:t>
      </w:r>
    </w:p>
    <w:p>
      <w:pPr>
        <w:spacing w:line="480" w:lineRule="auto"/>
      </w:pPr>
      <w:r>
        <w:rPr>
          <w:b w:val="0"/>
          <w:i w:val="0"/>
          <w:sz w:val="24"/>
        </w:rPr>
        <w:t>Az életút-modell és a gazdasági számítás szemléltető jellegű: a paraméterek irodalmi nagyságrendekre támaszkodó feltételezések, nem mért incidencia- és nem mért költségértékek. Az egyirányú és a valószínűségi érzékenységi elemzés a paraméterek bizonytalanságát mutatja, a modell szerkezeti bizonytalanságát azonban nem, és QALY-alapú értékelést sem tartalmaz, ezért finanszírozási döntés megalapozására önmagában nem alkalmas. A modell magyar validálásához hazai ellátási költség- és távollét-adatokra volna szükség, amelyek publikált formában nem álltak rendelkezésünkre.</w:t>
      </w:r>
    </w:p>
    <w:p>
      <w:pPr>
        <w:spacing w:before="240" w:after="80"/>
      </w:pPr>
      <w:r>
        <w:rPr>
          <w:b/>
          <w:sz w:val="24"/>
        </w:rPr>
        <w:t>KÖVETKEZTETÉSEK</w:t>
      </w:r>
    </w:p>
    <w:p>
      <w:pPr>
        <w:spacing w:line="480" w:lineRule="auto"/>
      </w:pPr>
      <w:r>
        <w:rPr>
          <w:b w:val="0"/>
          <w:i w:val="0"/>
          <w:sz w:val="24"/>
        </w:rPr>
        <w:t>A GLP-1 receptor agonisták a serdülőkori elhízás kezelésében bizonyítottan hatásosak, és ezen keresztül a reproduktív tengelyre is hatnak: csökkentik az androgéntúlsúlyt, javítják a ciklusműködést és mérséklik a gyulladást. A hatás azonban túlnyomórészt zsírtömeg- és leptinmediált, és kétirányú; a nemi érés időzítésére gyakorolt közvetlen hatás tisztázatlan, ezért a 8–14 éves korosztályban a pubertásfejlődés strukturált követése a kezelés kötelező eleme. A gyermeknőgyógyász feladata a reproduktív kockázati pálya felismerése, a fogamzásgátlás és a washout megszervezése, az evészavar szűrése, valamint a kezelés krónikus természetének kommunikálása.</w:t>
      </w:r>
    </w:p>
    <w:p>
      <w:pPr>
        <w:spacing w:before="240" w:after="80"/>
      </w:pPr>
      <w:r>
        <w:rPr>
          <w:b/>
          <w:sz w:val="24"/>
        </w:rPr>
        <w:t>EGÉSZSÉGGAZDASÁGI SÚLY ÉS HOSSZÚ TÁVÚ KÖLTSÉG</w:t>
      </w:r>
    </w:p>
    <w:p>
      <w:pPr>
        <w:spacing w:line="480" w:lineRule="auto"/>
      </w:pPr>
      <w:r>
        <w:rPr>
          <w:b w:val="0"/>
          <w:i w:val="0"/>
          <w:sz w:val="24"/>
        </w:rPr>
        <w:t xml:space="preserve">A gyermekkori túlsúly és elhízás évi 237,55 USD/fő többlet-egészségügyi kiadást okoz [39]. Társadalmi perspektívájú modellünkben (2–3. táblázat, 3. ábra) 1000 obes leány 14–65 év közötti követése során a tartós kezelés mintegy 580 megbetegedést hárít el. A mérleg a gyógyszerártól függ: 5 000 Ft/hó mellett fejenként mintegy 5,9 millió, 20 000 Ft/hó mellett 1,0 millió forint társadalmi megtakarítás keletkezik, 35 000 Ft/hó mellett viszont már 3,8 millió forint többletköltség. A megtérülés küszöbára havi 23 000 forint körül van; ha csak a közvetlen ellátási kiadást számoljuk, a küszöb 17 000 forintra esik – vagyis </w:t>
      </w:r>
      <w:r>
        <w:rPr>
          <w:b/>
          <w:i w:val="0"/>
          <w:sz w:val="24"/>
        </w:rPr>
        <w:t>a munkahelyi távollétek és a reprodukciós veszteség beszámítása önmagában mintegy 6 000 forint/hó árkülönbséget ér</w:t>
      </w:r>
      <w:r>
        <w:rPr>
          <w:b w:val="0"/>
          <w:i w:val="0"/>
          <w:sz w:val="24"/>
        </w:rPr>
        <w:t>. A megtakarítás valószínűsége 15 000 Ft/hó mellett 94%, 20 000 Ft/hó mellett 70%, 30 000 Ft/hó mellett 14%. A fogyástól részben független kockázatcsökkentés [31, 32] a modellben érdemi, de az árnál és az adherenciánál lényegesen kisebb tétel. A serdülőkori inkretin-kezelés tehát ma elsősorban árkérdés [40].</w:t>
      </w:r>
    </w:p>
    <w:p>
      <w:pPr>
        <w:spacing w:before="240" w:after="80"/>
      </w:pPr>
      <w:r>
        <w:rPr>
          <w:b/>
          <w:sz w:val="24"/>
        </w:rPr>
        <w:t>KÖSZÖNETNYILVÁNÍTÁS</w:t>
      </w:r>
    </w:p>
    <w:p>
      <w:pPr>
        <w:spacing w:line="480" w:lineRule="auto"/>
      </w:pPr>
      <w:r>
        <w:rPr>
          <w:b w:val="0"/>
          <w:i/>
          <w:sz w:val="24"/>
        </w:rPr>
        <w:t>(a szerző tölti ki)</w:t>
      </w:r>
    </w:p>
    <w:p>
      <w:pPr>
        <w:spacing w:before="240" w:after="80"/>
      </w:pPr>
      <w:r>
        <w:rPr>
          <w:b/>
          <w:sz w:val="24"/>
        </w:rPr>
        <w:t>ÉRDEKELTSÉGEK, TÁMOGATÁSOK</w:t>
      </w:r>
    </w:p>
    <w:p>
      <w:pPr>
        <w:spacing w:line="480" w:lineRule="auto"/>
      </w:pPr>
      <w:r>
        <w:rPr>
          <w:b w:val="0"/>
          <w:i w:val="0"/>
          <w:sz w:val="24"/>
        </w:rPr>
        <w:t>A szerző(k)nek nincsenek érdekeltségei. A közlemény elkészítése külső támogatásban nem részesült.</w:t>
      </w:r>
    </w:p>
    <w:p>
      <w:r>
        <w:br w:type="page"/>
      </w:r>
    </w:p>
    <w:p>
      <w:pPr>
        <w:spacing w:before="0" w:after="120"/>
      </w:pPr>
      <w:r>
        <w:rPr>
          <w:b/>
          <w:sz w:val="24"/>
        </w:rPr>
        <w:t>IRODALOMJEGYZÉK</w:t>
      </w:r>
    </w:p>
    <w:p>
      <w:pPr>
        <w:spacing w:line="360" w:lineRule="auto" w:after="80"/>
      </w:pPr>
      <w:r>
        <w:rPr>
          <w:b w:val="0"/>
          <w:i w:val="0"/>
          <w:sz w:val="24"/>
        </w:rPr>
        <w:t>[1] Hampl SE, Hassink SG, Skinner AC, et al. Executive Summary: Clinical Practice Guideline for the Evaluation and Treatment of Children and Adolescents With Obesity. Pediatrics 2023;151(2):e2022060641.</w:t>
      </w:r>
    </w:p>
    <w:p>
      <w:pPr>
        <w:spacing w:line="360" w:lineRule="auto" w:after="80"/>
      </w:pPr>
      <w:r>
        <w:rPr>
          <w:b w:val="0"/>
          <w:i w:val="0"/>
          <w:sz w:val="24"/>
        </w:rPr>
        <w:t>[2] Simmonds M, Burch J, Llewellyn A, et al. The use of measures of obesity in childhood for predicting obesity and the development of obesity-related diseases in adulthood: a systematic review and meta-analysis. Health Technol Assess 2015;19(43):1–336.</w:t>
      </w:r>
    </w:p>
    <w:p>
      <w:pPr>
        <w:spacing w:line="360" w:lineRule="auto" w:after="80"/>
      </w:pPr>
      <w:r>
        <w:rPr>
          <w:b w:val="0"/>
          <w:i w:val="0"/>
          <w:sz w:val="24"/>
        </w:rPr>
        <w:t>[3] Teede HJ, Tay CT, Laven JJE, et al. Recommendations from the 2023 international evidence-based guideline for the assessment and management of polycystic ovary syndrome. Eur J Endocrinol 2023;189(2):G43–G64.</w:t>
      </w:r>
    </w:p>
    <w:p>
      <w:pPr>
        <w:spacing w:line="360" w:lineRule="auto" w:after="80"/>
      </w:pPr>
      <w:r>
        <w:rPr>
          <w:b w:val="0"/>
          <w:i w:val="0"/>
          <w:sz w:val="24"/>
        </w:rPr>
        <w:t>[4] Houghton LC, Wei Y, Wang T, et al. Body mass index rebound and pubertal timing in girls with and without a family history of breast cancer: the LEGACY girls study. Int J Epidemiol 2022;51(5):1546–55.</w:t>
      </w:r>
    </w:p>
    <w:p>
      <w:pPr>
        <w:spacing w:line="360" w:lineRule="auto" w:after="80"/>
      </w:pPr>
      <w:r>
        <w:rPr>
          <w:b w:val="0"/>
          <w:i w:val="0"/>
          <w:sz w:val="24"/>
        </w:rPr>
        <w:t>[5] Min JS, Jo SJ, Lee S, et al. A Comprehensive Review on the Pharmacokinetics and Drug-Drug Interactions of Approved GLP-1 Receptor Agonists and a Dual GLP-1/GIP Receptor Agonist. Drug Des Devel Ther 2025;19:3509–37.</w:t>
      </w:r>
    </w:p>
    <w:p>
      <w:pPr>
        <w:spacing w:line="360" w:lineRule="auto" w:after="80"/>
      </w:pPr>
      <w:r>
        <w:rPr>
          <w:b w:val="0"/>
          <w:i w:val="0"/>
          <w:sz w:val="24"/>
        </w:rPr>
        <w:t>[6] Pugeat M, Nader N, Hogeveen K, et al. Sex hormone-binding globulin gene expression in the liver: drugs and the metabolic syndrome. Mol Cell Endocrinol 2010;316(1):53–9.</w:t>
      </w:r>
    </w:p>
    <w:p>
      <w:pPr>
        <w:spacing w:line="360" w:lineRule="auto" w:after="80"/>
      </w:pPr>
      <w:r>
        <w:rPr>
          <w:b w:val="0"/>
          <w:i w:val="0"/>
          <w:sz w:val="24"/>
        </w:rPr>
        <w:t>[7] Sanchez-Garrido MA, Tena-Sempere M. Metabolic control of puberty: roles of leptin and kisspeptins. Horm Behav 2013;64(2):187–94.</w:t>
      </w:r>
    </w:p>
    <w:p>
      <w:pPr>
        <w:spacing w:line="360" w:lineRule="auto" w:after="80"/>
      </w:pPr>
      <w:r>
        <w:rPr>
          <w:b w:val="0"/>
          <w:i w:val="0"/>
          <w:sz w:val="24"/>
        </w:rPr>
        <w:t>[8] Manfredi-Lozano M, Roa J, Ruiz-Pino F, et al. Defining a novel leptin-melanocortin-kisspeptin pathway involved in the metabolic control of puberty. Mol Metab 2016;5(10):844–57.</w:t>
      </w:r>
    </w:p>
    <w:p>
      <w:pPr>
        <w:spacing w:line="360" w:lineRule="auto" w:after="80"/>
      </w:pPr>
      <w:r>
        <w:rPr>
          <w:b w:val="0"/>
          <w:i w:val="0"/>
          <w:sz w:val="24"/>
        </w:rPr>
        <w:t>[9] Gill D, Brewer CF, Del Greco M F, et al. Age at menarche and adult body mass index: a Mendelian randomization study. Int J Obes (Lond) 2018;42(9):1574–81.</w:t>
      </w:r>
    </w:p>
    <w:p>
      <w:pPr>
        <w:spacing w:line="360" w:lineRule="auto" w:after="80"/>
      </w:pPr>
      <w:r>
        <w:rPr>
          <w:b w:val="0"/>
          <w:i w:val="0"/>
          <w:sz w:val="24"/>
        </w:rPr>
        <w:t>[10] Outeiriño-Iglesias V, Romaní-Pérez M, González-Matías LC, et al. GLP-1 Increases Preovulatory LH Source and the Number of Mature Follicles, As Well As Synchronizing the Onset of Puberty in Female Rats. Endocrinology 2015;156(11):4226–37.</w:t>
      </w:r>
    </w:p>
    <w:p>
      <w:pPr>
        <w:spacing w:line="360" w:lineRule="auto" w:after="80"/>
      </w:pPr>
      <w:r>
        <w:rPr>
          <w:b w:val="0"/>
          <w:i w:val="0"/>
          <w:sz w:val="24"/>
        </w:rPr>
        <w:t>[11] Masson W, Lobo M, Nogueira JP, et al. Anti-inflammatory effect of semaglutide: updated systematic review and meta-analysis. Front Cardiovasc Med 2024;11:1379189.</w:t>
      </w:r>
    </w:p>
    <w:p>
      <w:pPr>
        <w:spacing w:line="360" w:lineRule="auto" w:after="80"/>
      </w:pPr>
      <w:r>
        <w:rPr>
          <w:b w:val="0"/>
          <w:i w:val="0"/>
          <w:sz w:val="24"/>
        </w:rPr>
        <w:t>[12] Gordon CM, Ackerman KE, Berga SL, et al. Functional Hypothalamic Amenorrhea: An Endocrine Society Clinical Practice Guideline. J Clin Endocrinol Metab 2017;102(5):1413–39.</w:t>
      </w:r>
    </w:p>
    <w:p>
      <w:pPr>
        <w:spacing w:line="360" w:lineRule="auto" w:after="80"/>
      </w:pPr>
      <w:r>
        <w:rPr>
          <w:b w:val="0"/>
          <w:i w:val="0"/>
          <w:sz w:val="24"/>
        </w:rPr>
        <w:t>[13] Kumari N, Kumari R, Dua A, et al. From Gut to Hormones: Unraveling the Role of Gut Microbiota in (Phyto)Estrogen Modulation in Health and Disease. Mol Nutr Food Res 2024;68(6):e2300688.</w:t>
      </w:r>
    </w:p>
    <w:p>
      <w:pPr>
        <w:spacing w:line="360" w:lineRule="auto" w:after="80"/>
      </w:pPr>
      <w:r>
        <w:rPr>
          <w:b w:val="0"/>
          <w:i w:val="0"/>
          <w:sz w:val="24"/>
        </w:rPr>
        <w:t>[14] Skelley JW, Swearengin K, York AL, et al. The impact of tirzepatide and glucagon-like peptide 1 receptor agonists on oral hormonal contraception. J Am Pharm Assoc (2003) 2024;64(1):204–211.e4.</w:t>
      </w:r>
    </w:p>
    <w:p>
      <w:pPr>
        <w:spacing w:line="360" w:lineRule="auto" w:after="80"/>
      </w:pPr>
      <w:r>
        <w:rPr>
          <w:b w:val="0"/>
          <w:i w:val="0"/>
          <w:sz w:val="24"/>
        </w:rPr>
        <w:t>[15] Weghuber D, Barrett T, Barrientos-Pérez M, et al. Once-Weekly Semaglutide in Adolescents with Obesity. N Engl J Med 2022;387(24):2245–57.</w:t>
      </w:r>
    </w:p>
    <w:p>
      <w:pPr>
        <w:spacing w:line="360" w:lineRule="auto" w:after="80"/>
      </w:pPr>
      <w:r>
        <w:rPr>
          <w:b w:val="0"/>
          <w:i w:val="0"/>
          <w:sz w:val="24"/>
        </w:rPr>
        <w:t>[16] Kelly AS, Arslanian S, Hesse D, et al. Reducing BMI below the obesity threshold in adolescents treated with once-weekly subcutaneous semaglutide 2.4 mg. Obesity (Silver Spring) 2023;31(8):2139–49.</w:t>
      </w:r>
    </w:p>
    <w:p>
      <w:pPr>
        <w:spacing w:line="360" w:lineRule="auto" w:after="80"/>
      </w:pPr>
      <w:r>
        <w:rPr>
          <w:b w:val="0"/>
          <w:i w:val="0"/>
          <w:sz w:val="24"/>
        </w:rPr>
        <w:t>[17] Kelly AS, Auerbach P, Barrientos-Perez M, et al. A Randomized, Controlled Trial of Liraglutide for Adolescents with Obesity. N Engl J Med 2020;382(22):2117–28.</w:t>
      </w:r>
    </w:p>
    <w:p>
      <w:pPr>
        <w:spacing w:line="360" w:lineRule="auto" w:after="80"/>
      </w:pPr>
      <w:r>
        <w:rPr>
          <w:b w:val="0"/>
          <w:i w:val="0"/>
          <w:sz w:val="24"/>
        </w:rPr>
        <w:t>[18] Fox CK, Barrientos-Pérez M, Bomberg EM, et al. Liraglutide for Children 6 to &lt;12 Years of Age with Obesity – A Randomized Trial. N Engl J Med 2025;392(6):555–65.</w:t>
      </w:r>
    </w:p>
    <w:p>
      <w:pPr>
        <w:spacing w:line="360" w:lineRule="auto" w:after="80"/>
      </w:pPr>
      <w:r>
        <w:rPr>
          <w:b w:val="0"/>
          <w:i w:val="0"/>
          <w:sz w:val="24"/>
        </w:rPr>
        <w:t>[19] Wu S, He Y, Wu Y, et al. Comparative efficacy and safety of glucose-lowering drugs in children and adolescents with type 2 diabetes: A systematic review and network meta-analysis. Front Endocrinol (Lausanne) 2022;13:897776.</w:t>
      </w:r>
    </w:p>
    <w:p>
      <w:pPr>
        <w:spacing w:line="360" w:lineRule="auto" w:after="80"/>
      </w:pPr>
      <w:r>
        <w:rPr>
          <w:b w:val="0"/>
          <w:i w:val="0"/>
          <w:sz w:val="24"/>
        </w:rPr>
        <w:t>[20] Gourgari E, Srivastava G, Kelly AS, et al. Early-Onset Obesity and Tirzepatide Treatment: A Post Hoc Analysis of the SURMOUNT Clinical Trials. Obesity (Silver Spring) 2025;33(9):1668–79.</w:t>
      </w:r>
    </w:p>
    <w:p>
      <w:pPr>
        <w:spacing w:line="360" w:lineRule="auto" w:after="80"/>
      </w:pPr>
      <w:r>
        <w:rPr>
          <w:b w:val="0"/>
          <w:i w:val="0"/>
          <w:sz w:val="24"/>
        </w:rPr>
        <w:t>[21] Han Y, Li Y, He B. GLP-1 receptor agonists versus metformin in PCOS: a systematic review and meta-analysis. Reprod Biomed Online 2019;39(2):332–42.</w:t>
      </w:r>
    </w:p>
    <w:p>
      <w:pPr>
        <w:spacing w:line="360" w:lineRule="auto" w:after="80"/>
      </w:pPr>
      <w:r>
        <w:rPr>
          <w:b w:val="0"/>
          <w:i w:val="0"/>
          <w:sz w:val="24"/>
        </w:rPr>
        <w:t>[22] Elkind-Hirsch KE, Chappell N, Seidemann E, et al. Exenatide, Dapagliflozin, or Phentermine/Topiramate Differentially Affect Metabolic Profiles in Polycystic Ovary Syndrome. J Clin Endocrinol Metab 2021;106(10):3019–33.</w:t>
      </w:r>
    </w:p>
    <w:p>
      <w:pPr>
        <w:spacing w:line="360" w:lineRule="auto" w:after="80"/>
      </w:pPr>
      <w:r>
        <w:rPr>
          <w:b w:val="0"/>
          <w:i w:val="0"/>
          <w:sz w:val="24"/>
        </w:rPr>
        <w:t>[23] Tao T, Zhang Y, Zhu YC, et al. Exenatide, Metformin, or Both for Prediabetes in PCOS: A Randomized, Open-label, Parallel-group Controlled Study. J Clin Endocrinol Metab 2021;106(3):e1420–e1432.</w:t>
      </w:r>
    </w:p>
    <w:p>
      <w:pPr>
        <w:spacing w:line="360" w:lineRule="auto" w:after="80"/>
      </w:pPr>
      <w:r>
        <w:rPr>
          <w:b w:val="0"/>
          <w:i w:val="0"/>
          <w:sz w:val="24"/>
        </w:rPr>
        <w:t>[24] Sridharan K, Sivaramakrishnan G. Expanding therapeutic horizons: glucagon-like peptide-1 receptor agonists and sodium glucose transporter-2 inhibitors in polycystic ovarian syndrome: a comprehensive review including systematic review and network meta-analysis of randomized clinical trials. Diabetol Metab Syndr 2025;17(1):168.</w:t>
      </w:r>
    </w:p>
    <w:p>
      <w:pPr>
        <w:spacing w:line="360" w:lineRule="auto" w:after="80"/>
      </w:pPr>
      <w:r>
        <w:rPr>
          <w:b w:val="0"/>
          <w:i w:val="0"/>
          <w:sz w:val="24"/>
        </w:rPr>
        <w:t>[25] Reiser E, Lanbach J, Böttcher B, et al. Non-Hormonal Treatment Options for Regulation of Menstrual Cycle in Adolescents with PCOS. J Clin Med 2022;12(1):67.</w:t>
      </w:r>
    </w:p>
    <w:p>
      <w:pPr>
        <w:spacing w:line="360" w:lineRule="auto" w:after="80"/>
      </w:pPr>
      <w:r>
        <w:rPr>
          <w:b w:val="0"/>
          <w:i w:val="0"/>
          <w:sz w:val="24"/>
        </w:rPr>
        <w:t>[26] Pugeat M, Plotton I, de la Perrière AB, et al. MANAGEMENT OF ENDOCRINE DISEASE Hyperandrogenic states in women: pitfalls in laboratory diagnosis. Eur J Endocrinol 2018;178(4):R141–R154.</w:t>
      </w:r>
    </w:p>
    <w:p>
      <w:pPr>
        <w:spacing w:line="360" w:lineRule="auto" w:after="80"/>
      </w:pPr>
      <w:r>
        <w:rPr>
          <w:b w:val="0"/>
          <w:i w:val="0"/>
          <w:sz w:val="24"/>
        </w:rPr>
        <w:t>[27] Seighali N, Gholami-Chahkand MS, Ebrahimzade M, et al. Effect of oral semaglutide on cardiometabolic risk factors in overweight and obese individuals with or without diabetes: a systematic review and meta-analysis. BMC Pharmacol Toxicol 2026;27(1). doi: 10.1186/s40360-026-01149-5</w:t>
      </w:r>
    </w:p>
    <w:p>
      <w:pPr>
        <w:spacing w:line="360" w:lineRule="auto" w:after="80"/>
      </w:pPr>
      <w:r>
        <w:rPr>
          <w:b w:val="0"/>
          <w:i w:val="0"/>
          <w:sz w:val="24"/>
        </w:rPr>
        <w:t>[28] Jiang G, Yang X, Zhu G, et al. Comparative efficacy and safety of antidiabetic drugs for obese patients with knee osteoarthritis: a network meta-analysis of randomized controlled trials. Aging Clin Exp Res 2025;37(1):142.</w:t>
      </w:r>
    </w:p>
    <w:p>
      <w:pPr>
        <w:spacing w:line="360" w:lineRule="auto" w:after="80"/>
      </w:pPr>
      <w:r>
        <w:rPr>
          <w:b w:val="0"/>
          <w:i w:val="0"/>
          <w:sz w:val="24"/>
        </w:rPr>
        <w:t>[29] Arnold M, Jiang L, Stefanick ML, et al. Duration of Adulthood Overweight, Obesity, and Cancer Risk in the Women's Health Initiative: A Longitudinal Study from the United States. PLoS Med 2016;13(8):e1002081.</w:t>
      </w:r>
    </w:p>
    <w:p>
      <w:pPr>
        <w:spacing w:line="360" w:lineRule="auto" w:after="80"/>
      </w:pPr>
      <w:r>
        <w:rPr>
          <w:b w:val="0"/>
          <w:i w:val="0"/>
          <w:sz w:val="24"/>
        </w:rPr>
        <w:t>[30] Saint-Maurice PF, Sampson JN, Michels KA, et al. Physical Activity From Adolescence Through Midlife and Associations With Body Mass Index and Endometrial Cancer Risk. JNCI Cancer Spectr 2021;5(4):pkab065.</w:t>
      </w:r>
    </w:p>
    <w:p>
      <w:pPr>
        <w:spacing w:line="360" w:lineRule="auto" w:after="80"/>
      </w:pPr>
      <w:r>
        <w:rPr>
          <w:b w:val="0"/>
          <w:i w:val="0"/>
          <w:sz w:val="24"/>
        </w:rPr>
        <w:t>[31] Lincoff AM, Brown-Frandsen K, Colhoun HM, et al. Semaglutide and Cardiovascular Outcomes in Obesity without Diabetes. N Engl J Med 2023;389(24):2221–32.</w:t>
      </w:r>
    </w:p>
    <w:p>
      <w:pPr>
        <w:spacing w:line="360" w:lineRule="auto" w:after="80"/>
      </w:pPr>
      <w:r>
        <w:rPr>
          <w:b w:val="0"/>
          <w:i w:val="0"/>
          <w:sz w:val="24"/>
        </w:rPr>
        <w:t>[32] Ryan DH, Lingvay I, Deanfield J, et al. Long-term weight loss effects of semaglutide in obesity without diabetes in the SELECT trial. Nat Med 2024;30(7):2049–57.</w:t>
      </w:r>
    </w:p>
    <w:p>
      <w:pPr>
        <w:spacing w:line="360" w:lineRule="auto" w:after="80"/>
      </w:pPr>
      <w:r>
        <w:rPr>
          <w:b w:val="0"/>
          <w:i w:val="0"/>
          <w:sz w:val="24"/>
        </w:rPr>
        <w:t>[33] Begum KS, Sachchithanantham K, De Somsubhra S. Maternal obesity and pregnancy outcome. Clin Exp Obstet Gynecol 2011;38(1):14–20.</w:t>
      </w:r>
    </w:p>
    <w:p>
      <w:pPr>
        <w:spacing w:line="360" w:lineRule="auto" w:after="80"/>
      </w:pPr>
      <w:r>
        <w:rPr>
          <w:b w:val="0"/>
          <w:i w:val="0"/>
          <w:sz w:val="24"/>
        </w:rPr>
        <w:t>[34] Liu Y, Zhang W. Association between body mass index and endometriosis risk: a meta-analysis. Oncotarget 2017;8(29):46928–36.</w:t>
      </w:r>
    </w:p>
    <w:p>
      <w:pPr>
        <w:spacing w:line="360" w:lineRule="auto" w:after="80"/>
      </w:pPr>
      <w:r>
        <w:rPr>
          <w:b w:val="0"/>
          <w:i w:val="0"/>
          <w:sz w:val="24"/>
        </w:rPr>
        <w:t>[35] Barrea L, Verde L, Annunziata G, et al. Effectiveness of Medical Nutrition Therapy in the Management of Patients with Obesity and Endometriosis. Curr Obes Rep 2025;14(1):68.</w:t>
      </w:r>
    </w:p>
    <w:p>
      <w:pPr>
        <w:spacing w:line="360" w:lineRule="auto" w:after="80"/>
      </w:pPr>
      <w:r>
        <w:rPr>
          <w:b w:val="0"/>
          <w:i w:val="0"/>
          <w:sz w:val="24"/>
        </w:rPr>
        <w:t>[36] La Vignera S, Condorelli RA. Unconventional Applications of Semaglutide and Tirzepatide: From Oncology to Human Reproduction. Biomedicines 2026;14(7):1644.</w:t>
      </w:r>
    </w:p>
    <w:p>
      <w:pPr>
        <w:spacing w:line="360" w:lineRule="auto" w:after="80"/>
      </w:pPr>
      <w:r>
        <w:rPr>
          <w:b w:val="0"/>
          <w:i w:val="0"/>
          <w:sz w:val="24"/>
        </w:rPr>
        <w:t>[37] Button AM, Persaud A, Tanner AB, et al. Intersection between Eating Disorders and Obesity in Youth: Implications for Treatment. Curr Obes Rep 2025;14(1):71.</w:t>
      </w:r>
    </w:p>
    <w:p>
      <w:pPr>
        <w:spacing w:line="360" w:lineRule="auto" w:after="80"/>
      </w:pPr>
      <w:r>
        <w:rPr>
          <w:b w:val="0"/>
          <w:i w:val="0"/>
          <w:sz w:val="24"/>
        </w:rPr>
        <w:t>[38] Wilding JPH, Batterham RL, Davies M, et al. Weight regain and cardiometabolic effects after withdrawal of semaglutide: The STEP 1 trial extension. Diabetes Obes Metab 2022;24(8):1553–64.</w:t>
      </w:r>
    </w:p>
    <w:p>
      <w:pPr>
        <w:spacing w:line="360" w:lineRule="auto" w:after="80"/>
      </w:pPr>
      <w:r>
        <w:rPr>
          <w:b w:val="0"/>
          <w:i w:val="0"/>
          <w:sz w:val="24"/>
        </w:rPr>
        <w:t>[39] Ling J, Chen S, Zahry NR, et al. Economic burden of childhood overweight and obesity: A systematic review and meta-analysis. Obes Rev 2023;24(2):e13535.</w:t>
      </w:r>
    </w:p>
    <w:p>
      <w:pPr>
        <w:spacing w:line="360" w:lineRule="auto" w:after="80"/>
      </w:pPr>
      <w:r>
        <w:rPr>
          <w:b w:val="0"/>
          <w:i w:val="0"/>
          <w:sz w:val="24"/>
        </w:rPr>
        <w:t>[40] Mital S, Nguyen HV. Cost-Effectiveness of Antiobesity Drugs for Adolescents With Severe Obesity. JAMA Netw Open 2023;6(10):e2336400.</w:t>
      </w:r>
    </w:p>
    <w:p>
      <w:r>
        <w:br w:type="page"/>
      </w:r>
    </w:p>
    <w:p>
      <w:pPr>
        <w:spacing w:before="0" w:after="120"/>
      </w:pPr>
      <w:r>
        <w:rPr>
          <w:b/>
          <w:sz w:val="24"/>
        </w:rPr>
        <w:t>ENGLISH TITLE, ABSTRACT AND KEYWORDS</w:t>
      </w:r>
    </w:p>
    <w:p>
      <w:pPr>
        <w:spacing w:line="480" w:lineRule="auto"/>
      </w:pPr>
      <w:r>
        <w:rPr>
          <w:b/>
          <w:i w:val="0"/>
          <w:sz w:val="24"/>
        </w:rPr>
        <w:t>Incretin-based therapies in paediatric and adolescent gynaecology: the effect of GLP-1 receptor agonists on the adolescent reproductive axis</w:t>
      </w:r>
    </w:p>
    <w:p>
      <w:pPr>
        <w:spacing w:line="480" w:lineRule="auto"/>
      </w:pPr>
      <w:r>
        <w:rPr>
          <w:b w:val="0"/>
          <w:i w:val="0"/>
          <w:sz w:val="24"/>
        </w:rPr>
        <w:t>Paediatric and adolescent obesity is no longer a comorbidity in the gynaecological consultation room but a starting point: premature adrenarche, early menarche, oligomenorrhoea, the hyperandrogenic phenotype and later reproductive failure share a common metabolic root. The licensing of glucagon-like peptide-1 (GLP-1) receptor agonists above the age of 12 years has, for the first time, provided a pharmacological means of breaking the body-mass trajectory and thereby indirectly remodelling the reproductive axis. This review summarises the available evidence for girls aged 8 to 18 years across five effect domains: body weight and body composition, steroid hormone profile, sexual maturation and menstrual function, inflammation, and lifetime risk. Randomised evidence for weight is robust: in adolescents aged 12 to 18 years, once-weekly semaglutide reduced body-mass index by 16.1% over 68 weeks compared with a 0.6% increase on placebo, and almost three-quarters of participants achieved at least 5% weight loss; liraglutide was effective in both the 12–18 and the 6–12 year age bands. Data on steroid hormones and menstrual function derive predominantly from adult populations with polycystic ovary syndrome, in whom GLP-1 receptor agonists improve menstrual frequency, lower androgen concentrations and raise sex hormone-binding globulin; direct adolescent evidence is sparse. The anti-inflammatory effect is measurable and partly independent of weight loss. Essentially no human data address the timing of sexual maturation, whereas animal experiments indicate direct modulation of the gonadal axis, which warrants caution during puberty. Practical considerations centre on contraception and a pre-conception washout, screening for eating disorders, protection of bone and lean mass, and weight regain after discontinuation. The review closes with a life-course model following three trajectories – a girl of normal body habitus, an untreated girl with obesity, and a girl with obesity treated with a GLP-1 receptor agonist and maintained on therapy – from prepuberty to old age, illustrating the avertable disease burden and its health-economic weight.</w:t>
      </w:r>
    </w:p>
    <w:p>
      <w:pPr>
        <w:spacing w:line="480" w:lineRule="auto"/>
      </w:pPr>
      <w:r>
        <w:rPr>
          <w:b/>
          <w:i w:val="0"/>
          <w:sz w:val="24"/>
        </w:rPr>
        <w:t>Keywords:</w:t>
      </w:r>
      <w:r>
        <w:rPr>
          <w:b w:val="0"/>
          <w:i w:val="0"/>
          <w:sz w:val="24"/>
        </w:rPr>
        <w:t xml:space="preserve"> GLP-1 receptor agonist, adolescent obesity, polycystic ovary syndrome, reproductive axis, health economics</w:t>
      </w:r>
    </w:p>
    <w:p>
      <w:r>
        <w:br w:type="page"/>
      </w:r>
    </w:p>
    <w:p>
      <w:pPr>
        <w:spacing w:before="0" w:after="120"/>
      </w:pPr>
      <w:r>
        <w:rPr>
          <w:b/>
          <w:sz w:val="24"/>
        </w:rPr>
        <w:t>1. táblázat. Randomizált inkretin-vizsgálatok a gyermek- és serdülőkori elhízás kezelésében</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tcPr>
          <w:p>
            <w:pPr>
              <w:spacing w:line="240" w:lineRule="auto"/>
            </w:pPr>
            <w:r/>
            <w:r>
              <w:rPr>
                <w:rFonts w:ascii="Times New Roman" w:hAnsi="Times New Roman"/>
                <w:b/>
                <w:sz w:val="18"/>
              </w:rPr>
              <w:t>Vizsgálat</w:t>
            </w:r>
          </w:p>
        </w:tc>
        <w:tc>
          <w:tcPr>
            <w:tcW w:type="dxa" w:w="1263"/>
          </w:tcPr>
          <w:p>
            <w:pPr>
              <w:spacing w:line="240" w:lineRule="auto"/>
            </w:pPr>
            <w:r/>
            <w:r>
              <w:rPr>
                <w:rFonts w:ascii="Times New Roman" w:hAnsi="Times New Roman"/>
                <w:b/>
                <w:sz w:val="18"/>
              </w:rPr>
              <w:t>Hatóanyag és adag</w:t>
            </w:r>
          </w:p>
        </w:tc>
        <w:tc>
          <w:tcPr>
            <w:tcW w:type="dxa" w:w="1263"/>
          </w:tcPr>
          <w:p>
            <w:pPr>
              <w:spacing w:line="240" w:lineRule="auto"/>
            </w:pPr>
            <w:r/>
            <w:r>
              <w:rPr>
                <w:rFonts w:ascii="Times New Roman" w:hAnsi="Times New Roman"/>
                <w:b/>
                <w:sz w:val="18"/>
              </w:rPr>
              <w:t>Életkor</w:t>
            </w:r>
          </w:p>
        </w:tc>
        <w:tc>
          <w:tcPr>
            <w:tcW w:type="dxa" w:w="1263"/>
          </w:tcPr>
          <w:p>
            <w:pPr>
              <w:spacing w:line="240" w:lineRule="auto"/>
            </w:pPr>
            <w:r/>
            <w:r>
              <w:rPr>
                <w:rFonts w:ascii="Times New Roman" w:hAnsi="Times New Roman"/>
                <w:b/>
                <w:sz w:val="18"/>
              </w:rPr>
              <w:t>Résztvevők (n)</w:t>
            </w:r>
          </w:p>
        </w:tc>
        <w:tc>
          <w:tcPr>
            <w:tcW w:type="dxa" w:w="1263"/>
          </w:tcPr>
          <w:p>
            <w:pPr>
              <w:spacing w:line="240" w:lineRule="auto"/>
            </w:pPr>
            <w:r/>
            <w:r>
              <w:rPr>
                <w:rFonts w:ascii="Times New Roman" w:hAnsi="Times New Roman"/>
                <w:b/>
                <w:sz w:val="18"/>
              </w:rPr>
              <w:t>Időtartam</w:t>
            </w:r>
          </w:p>
        </w:tc>
        <w:tc>
          <w:tcPr>
            <w:tcW w:type="dxa" w:w="1263"/>
          </w:tcPr>
          <w:p>
            <w:pPr>
              <w:spacing w:line="240" w:lineRule="auto"/>
            </w:pPr>
            <w:r/>
            <w:r>
              <w:rPr>
                <w:rFonts w:ascii="Times New Roman" w:hAnsi="Times New Roman"/>
                <w:b/>
                <w:sz w:val="18"/>
              </w:rPr>
              <w:t>Elsődleges végpont és eredmény</w:t>
            </w:r>
          </w:p>
        </w:tc>
        <w:tc>
          <w:tcPr>
            <w:tcW w:type="dxa" w:w="1263"/>
          </w:tcPr>
          <w:p>
            <w:pPr>
              <w:spacing w:line="240" w:lineRule="auto"/>
            </w:pPr>
            <w:r/>
            <w:r>
              <w:rPr>
                <w:rFonts w:ascii="Times New Roman" w:hAnsi="Times New Roman"/>
                <w:b/>
                <w:sz w:val="18"/>
              </w:rPr>
              <w:t>Kulcsmegfigyelés</w:t>
            </w:r>
          </w:p>
        </w:tc>
      </w:tr>
      <w:tr>
        <w:tc>
          <w:tcPr>
            <w:tcW w:type="dxa" w:w="1263"/>
          </w:tcPr>
          <w:p>
            <w:pPr>
              <w:spacing w:line="240" w:lineRule="auto"/>
            </w:pPr>
            <w:r/>
            <w:r>
              <w:rPr>
                <w:rFonts w:ascii="Times New Roman" w:hAnsi="Times New Roman"/>
                <w:b w:val="0"/>
                <w:sz w:val="18"/>
              </w:rPr>
              <w:t>STEP TEENS [15]</w:t>
            </w:r>
          </w:p>
        </w:tc>
        <w:tc>
          <w:tcPr>
            <w:tcW w:type="dxa" w:w="1263"/>
          </w:tcPr>
          <w:p>
            <w:pPr>
              <w:spacing w:line="240" w:lineRule="auto"/>
            </w:pPr>
            <w:r/>
            <w:r>
              <w:rPr>
                <w:rFonts w:ascii="Times New Roman" w:hAnsi="Times New Roman"/>
                <w:b w:val="0"/>
                <w:sz w:val="18"/>
              </w:rPr>
              <w:t>szemaglutid 2,4 mg hetente</w:t>
            </w:r>
          </w:p>
        </w:tc>
        <w:tc>
          <w:tcPr>
            <w:tcW w:type="dxa" w:w="1263"/>
          </w:tcPr>
          <w:p>
            <w:pPr>
              <w:spacing w:line="240" w:lineRule="auto"/>
            </w:pPr>
            <w:r/>
            <w:r>
              <w:rPr>
                <w:rFonts w:ascii="Times New Roman" w:hAnsi="Times New Roman"/>
                <w:b w:val="0"/>
                <w:sz w:val="18"/>
              </w:rPr>
              <w:t>12–&lt;18 év</w:t>
            </w:r>
          </w:p>
        </w:tc>
        <w:tc>
          <w:tcPr>
            <w:tcW w:type="dxa" w:w="1263"/>
          </w:tcPr>
          <w:p>
            <w:pPr>
              <w:spacing w:line="240" w:lineRule="auto"/>
            </w:pPr>
            <w:r/>
            <w:r>
              <w:rPr>
                <w:rFonts w:ascii="Times New Roman" w:hAnsi="Times New Roman"/>
                <w:b w:val="0"/>
                <w:sz w:val="18"/>
              </w:rPr>
              <w:t>201</w:t>
            </w:r>
          </w:p>
        </w:tc>
        <w:tc>
          <w:tcPr>
            <w:tcW w:type="dxa" w:w="1263"/>
          </w:tcPr>
          <w:p>
            <w:pPr>
              <w:spacing w:line="240" w:lineRule="auto"/>
            </w:pPr>
            <w:r/>
            <w:r>
              <w:rPr>
                <w:rFonts w:ascii="Times New Roman" w:hAnsi="Times New Roman"/>
                <w:b w:val="0"/>
                <w:sz w:val="18"/>
              </w:rPr>
              <w:t>68 hét</w:t>
            </w:r>
          </w:p>
        </w:tc>
        <w:tc>
          <w:tcPr>
            <w:tcW w:type="dxa" w:w="1263"/>
          </w:tcPr>
          <w:p>
            <w:pPr>
              <w:spacing w:line="240" w:lineRule="auto"/>
            </w:pPr>
            <w:r/>
            <w:r>
              <w:rPr>
                <w:rFonts w:ascii="Times New Roman" w:hAnsi="Times New Roman"/>
                <w:b w:val="0"/>
                <w:sz w:val="18"/>
              </w:rPr>
              <w:t>BMI-változás: −16,1% vs. +0,6% (különbség −16,7 százalékpont; 95% CI −20,3 – −13,2)</w:t>
            </w:r>
          </w:p>
        </w:tc>
        <w:tc>
          <w:tcPr>
            <w:tcW w:type="dxa" w:w="1263"/>
          </w:tcPr>
          <w:p>
            <w:pPr>
              <w:spacing w:line="240" w:lineRule="auto"/>
            </w:pPr>
            <w:r/>
            <w:r>
              <w:rPr>
                <w:rFonts w:ascii="Times New Roman" w:hAnsi="Times New Roman"/>
                <w:b w:val="0"/>
                <w:sz w:val="18"/>
              </w:rPr>
              <w:t>≥5% testsúlycsökkenés: 73% vs. 18%; gastrointestinalis mellékhatás 62% vs. 42%; epekövesség 4%</w:t>
            </w:r>
          </w:p>
        </w:tc>
      </w:tr>
      <w:tr>
        <w:tc>
          <w:tcPr>
            <w:tcW w:type="dxa" w:w="1263"/>
          </w:tcPr>
          <w:p>
            <w:pPr>
              <w:spacing w:line="240" w:lineRule="auto"/>
            </w:pPr>
            <w:r/>
            <w:r>
              <w:rPr>
                <w:rFonts w:ascii="Times New Roman" w:hAnsi="Times New Roman"/>
                <w:b w:val="0"/>
                <w:sz w:val="18"/>
              </w:rPr>
              <w:t>STEP TEENS post hoc [16]</w:t>
            </w:r>
          </w:p>
        </w:tc>
        <w:tc>
          <w:tcPr>
            <w:tcW w:type="dxa" w:w="1263"/>
          </w:tcPr>
          <w:p>
            <w:pPr>
              <w:spacing w:line="240" w:lineRule="auto"/>
            </w:pPr>
            <w:r/>
            <w:r>
              <w:rPr>
                <w:rFonts w:ascii="Times New Roman" w:hAnsi="Times New Roman"/>
                <w:b w:val="0"/>
                <w:sz w:val="18"/>
              </w:rPr>
              <w:t>szemaglutid 2,4 mg hetente</w:t>
            </w:r>
          </w:p>
        </w:tc>
        <w:tc>
          <w:tcPr>
            <w:tcW w:type="dxa" w:w="1263"/>
          </w:tcPr>
          <w:p>
            <w:pPr>
              <w:spacing w:line="240" w:lineRule="auto"/>
            </w:pPr>
            <w:r/>
            <w:r>
              <w:rPr>
                <w:rFonts w:ascii="Times New Roman" w:hAnsi="Times New Roman"/>
                <w:b w:val="0"/>
                <w:sz w:val="18"/>
              </w:rPr>
              <w:t>12–&lt;18 év</w:t>
            </w:r>
          </w:p>
        </w:tc>
        <w:tc>
          <w:tcPr>
            <w:tcW w:type="dxa" w:w="1263"/>
          </w:tcPr>
          <w:p>
            <w:pPr>
              <w:spacing w:line="240" w:lineRule="auto"/>
            </w:pPr>
            <w:r/>
            <w:r>
              <w:rPr>
                <w:rFonts w:ascii="Times New Roman" w:hAnsi="Times New Roman"/>
                <w:b w:val="0"/>
                <w:sz w:val="18"/>
              </w:rPr>
              <w:t>201</w:t>
            </w:r>
          </w:p>
        </w:tc>
        <w:tc>
          <w:tcPr>
            <w:tcW w:type="dxa" w:w="1263"/>
          </w:tcPr>
          <w:p>
            <w:pPr>
              <w:spacing w:line="240" w:lineRule="auto"/>
            </w:pPr>
            <w:r/>
            <w:r>
              <w:rPr>
                <w:rFonts w:ascii="Times New Roman" w:hAnsi="Times New Roman"/>
                <w:b w:val="0"/>
                <w:sz w:val="18"/>
              </w:rPr>
              <w:t>68 hét</w:t>
            </w:r>
          </w:p>
        </w:tc>
        <w:tc>
          <w:tcPr>
            <w:tcW w:type="dxa" w:w="1263"/>
          </w:tcPr>
          <w:p>
            <w:pPr>
              <w:spacing w:line="240" w:lineRule="auto"/>
            </w:pPr>
            <w:r/>
            <w:r>
              <w:rPr>
                <w:rFonts w:ascii="Times New Roman" w:hAnsi="Times New Roman"/>
                <w:b w:val="0"/>
                <w:sz w:val="18"/>
              </w:rPr>
              <w:t>BMI-kategória javulása (post hoc)</w:t>
            </w:r>
          </w:p>
        </w:tc>
        <w:tc>
          <w:tcPr>
            <w:tcW w:type="dxa" w:w="1263"/>
          </w:tcPr>
          <w:p>
            <w:pPr>
              <w:spacing w:line="240" w:lineRule="auto"/>
            </w:pPr>
            <w:r/>
            <w:r>
              <w:rPr>
                <w:rFonts w:ascii="Times New Roman" w:hAnsi="Times New Roman"/>
                <w:b w:val="0"/>
                <w:sz w:val="18"/>
              </w:rPr>
              <w:t>normál testsúly/túlsúly kategóriába lépett: 44,9% vs. 12,1%; ≥1 kategóriát javult: 73,7% vs. 19,0%</w:t>
            </w:r>
          </w:p>
        </w:tc>
      </w:tr>
      <w:tr>
        <w:tc>
          <w:tcPr>
            <w:tcW w:type="dxa" w:w="1263"/>
          </w:tcPr>
          <w:p>
            <w:pPr>
              <w:spacing w:line="240" w:lineRule="auto"/>
            </w:pPr>
            <w:r/>
            <w:r>
              <w:rPr>
                <w:rFonts w:ascii="Times New Roman" w:hAnsi="Times New Roman"/>
                <w:b w:val="0"/>
                <w:sz w:val="18"/>
              </w:rPr>
              <w:t>SCALE Teens [17]</w:t>
            </w:r>
          </w:p>
        </w:tc>
        <w:tc>
          <w:tcPr>
            <w:tcW w:type="dxa" w:w="1263"/>
          </w:tcPr>
          <w:p>
            <w:pPr>
              <w:spacing w:line="240" w:lineRule="auto"/>
            </w:pPr>
            <w:r/>
            <w:r>
              <w:rPr>
                <w:rFonts w:ascii="Times New Roman" w:hAnsi="Times New Roman"/>
                <w:b w:val="0"/>
                <w:sz w:val="18"/>
              </w:rPr>
              <w:t>liraglutid 3,0 mg naponta</w:t>
            </w:r>
          </w:p>
        </w:tc>
        <w:tc>
          <w:tcPr>
            <w:tcW w:type="dxa" w:w="1263"/>
          </w:tcPr>
          <w:p>
            <w:pPr>
              <w:spacing w:line="240" w:lineRule="auto"/>
            </w:pPr>
            <w:r/>
            <w:r>
              <w:rPr>
                <w:rFonts w:ascii="Times New Roman" w:hAnsi="Times New Roman"/>
                <w:b w:val="0"/>
                <w:sz w:val="18"/>
              </w:rPr>
              <w:t>12–&lt;18 év</w:t>
            </w:r>
          </w:p>
        </w:tc>
        <w:tc>
          <w:tcPr>
            <w:tcW w:type="dxa" w:w="1263"/>
          </w:tcPr>
          <w:p>
            <w:pPr>
              <w:spacing w:line="240" w:lineRule="auto"/>
            </w:pPr>
            <w:r/>
            <w:r>
              <w:rPr>
                <w:rFonts w:ascii="Times New Roman" w:hAnsi="Times New Roman"/>
                <w:b w:val="0"/>
                <w:sz w:val="18"/>
              </w:rPr>
              <w:t>251</w:t>
            </w:r>
          </w:p>
        </w:tc>
        <w:tc>
          <w:tcPr>
            <w:tcW w:type="dxa" w:w="1263"/>
          </w:tcPr>
          <w:p>
            <w:pPr>
              <w:spacing w:line="240" w:lineRule="auto"/>
            </w:pPr>
            <w:r/>
            <w:r>
              <w:rPr>
                <w:rFonts w:ascii="Times New Roman" w:hAnsi="Times New Roman"/>
                <w:b w:val="0"/>
                <w:sz w:val="18"/>
              </w:rPr>
              <w:t>56 hét + 26 hét utánkövetés</w:t>
            </w:r>
          </w:p>
        </w:tc>
        <w:tc>
          <w:tcPr>
            <w:tcW w:type="dxa" w:w="1263"/>
          </w:tcPr>
          <w:p>
            <w:pPr>
              <w:spacing w:line="240" w:lineRule="auto"/>
            </w:pPr>
            <w:r/>
            <w:r>
              <w:rPr>
                <w:rFonts w:ascii="Times New Roman" w:hAnsi="Times New Roman"/>
                <w:b w:val="0"/>
                <w:sz w:val="18"/>
              </w:rPr>
              <w:t>BMI-SDS-változás: becsült különbség −0,22 (95% CI −0,37 – −0,08)</w:t>
            </w:r>
          </w:p>
        </w:tc>
        <w:tc>
          <w:tcPr>
            <w:tcW w:type="dxa" w:w="1263"/>
          </w:tcPr>
          <w:p>
            <w:pPr>
              <w:spacing w:line="240" w:lineRule="auto"/>
            </w:pPr>
            <w:r/>
            <w:r>
              <w:rPr>
                <w:rFonts w:ascii="Times New Roman" w:hAnsi="Times New Roman"/>
                <w:b w:val="0"/>
                <w:sz w:val="18"/>
              </w:rPr>
              <w:t>≥5% BMI-csökkenés 43,3% vs. 18,7%; a kezelés elhagyása után a BMI-SDS visszaemelkedett; egy befejezett öngyilkosság a liraglutid-karon</w:t>
            </w:r>
          </w:p>
        </w:tc>
      </w:tr>
      <w:tr>
        <w:tc>
          <w:tcPr>
            <w:tcW w:type="dxa" w:w="1263"/>
          </w:tcPr>
          <w:p>
            <w:pPr>
              <w:spacing w:line="240" w:lineRule="auto"/>
            </w:pPr>
            <w:r/>
            <w:r>
              <w:rPr>
                <w:rFonts w:ascii="Times New Roman" w:hAnsi="Times New Roman"/>
                <w:b w:val="0"/>
                <w:sz w:val="18"/>
              </w:rPr>
              <w:t>SCALE Kids [18]</w:t>
            </w:r>
          </w:p>
        </w:tc>
        <w:tc>
          <w:tcPr>
            <w:tcW w:type="dxa" w:w="1263"/>
          </w:tcPr>
          <w:p>
            <w:pPr>
              <w:spacing w:line="240" w:lineRule="auto"/>
            </w:pPr>
            <w:r/>
            <w:r>
              <w:rPr>
                <w:rFonts w:ascii="Times New Roman" w:hAnsi="Times New Roman"/>
                <w:b w:val="0"/>
                <w:sz w:val="18"/>
              </w:rPr>
              <w:t>liraglutid 3,0 mg naponta</w:t>
            </w:r>
          </w:p>
        </w:tc>
        <w:tc>
          <w:tcPr>
            <w:tcW w:type="dxa" w:w="1263"/>
          </w:tcPr>
          <w:p>
            <w:pPr>
              <w:spacing w:line="240" w:lineRule="auto"/>
            </w:pPr>
            <w:r/>
            <w:r>
              <w:rPr>
                <w:rFonts w:ascii="Times New Roman" w:hAnsi="Times New Roman"/>
                <w:b w:val="0"/>
                <w:sz w:val="18"/>
              </w:rPr>
              <w:t>6–&lt;12 év</w:t>
            </w:r>
          </w:p>
        </w:tc>
        <w:tc>
          <w:tcPr>
            <w:tcW w:type="dxa" w:w="1263"/>
          </w:tcPr>
          <w:p>
            <w:pPr>
              <w:spacing w:line="240" w:lineRule="auto"/>
            </w:pPr>
            <w:r/>
            <w:r>
              <w:rPr>
                <w:rFonts w:ascii="Times New Roman" w:hAnsi="Times New Roman"/>
                <w:b w:val="0"/>
                <w:sz w:val="18"/>
              </w:rPr>
              <w:t>82</w:t>
            </w:r>
          </w:p>
        </w:tc>
        <w:tc>
          <w:tcPr>
            <w:tcW w:type="dxa" w:w="1263"/>
          </w:tcPr>
          <w:p>
            <w:pPr>
              <w:spacing w:line="240" w:lineRule="auto"/>
            </w:pPr>
            <w:r/>
            <w:r>
              <w:rPr>
                <w:rFonts w:ascii="Times New Roman" w:hAnsi="Times New Roman"/>
                <w:b w:val="0"/>
                <w:sz w:val="18"/>
              </w:rPr>
              <w:t>56 hét + 26 hét utánkövetés</w:t>
            </w:r>
          </w:p>
        </w:tc>
        <w:tc>
          <w:tcPr>
            <w:tcW w:type="dxa" w:w="1263"/>
          </w:tcPr>
          <w:p>
            <w:pPr>
              <w:spacing w:line="240" w:lineRule="auto"/>
            </w:pPr>
            <w:r/>
            <w:r>
              <w:rPr>
                <w:rFonts w:ascii="Times New Roman" w:hAnsi="Times New Roman"/>
                <w:b w:val="0"/>
                <w:sz w:val="18"/>
              </w:rPr>
              <w:t>BMI-változás: −5,8% vs. +1,6% (különbség −7,4 százalékpont; 95% CI −11,6 – −3,2)</w:t>
            </w:r>
          </w:p>
        </w:tc>
        <w:tc>
          <w:tcPr>
            <w:tcW w:type="dxa" w:w="1263"/>
          </w:tcPr>
          <w:p>
            <w:pPr>
              <w:spacing w:line="240" w:lineRule="auto"/>
            </w:pPr>
            <w:r/>
            <w:r>
              <w:rPr>
                <w:rFonts w:ascii="Times New Roman" w:hAnsi="Times New Roman"/>
                <w:b w:val="0"/>
                <w:sz w:val="18"/>
              </w:rPr>
              <w:t>≥5% BMI-csökkenés 46% vs. 9%; gastrointestinalis mellékhatás 80% vs. 54%</w:t>
            </w:r>
          </w:p>
        </w:tc>
      </w:tr>
      <w:tr>
        <w:tc>
          <w:tcPr>
            <w:tcW w:type="dxa" w:w="1263"/>
          </w:tcPr>
          <w:p>
            <w:pPr>
              <w:spacing w:line="240" w:lineRule="auto"/>
            </w:pPr>
            <w:r/>
            <w:r>
              <w:rPr>
                <w:rFonts w:ascii="Times New Roman" w:hAnsi="Times New Roman"/>
                <w:b w:val="0"/>
                <w:sz w:val="18"/>
              </w:rPr>
              <w:t>Hálózati metaanalízis, 2-es típusú diabetes [19]</w:t>
            </w:r>
          </w:p>
        </w:tc>
        <w:tc>
          <w:tcPr>
            <w:tcW w:type="dxa" w:w="1263"/>
          </w:tcPr>
          <w:p>
            <w:pPr>
              <w:spacing w:line="240" w:lineRule="auto"/>
            </w:pPr>
            <w:r/>
            <w:r>
              <w:rPr>
                <w:rFonts w:ascii="Times New Roman" w:hAnsi="Times New Roman"/>
                <w:b w:val="0"/>
                <w:sz w:val="18"/>
              </w:rPr>
              <w:t>liraglutid, exenatid és egyéb szerek</w:t>
            </w:r>
          </w:p>
        </w:tc>
        <w:tc>
          <w:tcPr>
            <w:tcW w:type="dxa" w:w="1263"/>
          </w:tcPr>
          <w:p>
            <w:pPr>
              <w:spacing w:line="240" w:lineRule="auto"/>
            </w:pPr>
            <w:r/>
            <w:r>
              <w:rPr>
                <w:rFonts w:ascii="Times New Roman" w:hAnsi="Times New Roman"/>
                <w:b w:val="0"/>
                <w:sz w:val="18"/>
              </w:rPr>
              <w:t>10–17 év</w:t>
            </w:r>
          </w:p>
        </w:tc>
        <w:tc>
          <w:tcPr>
            <w:tcW w:type="dxa" w:w="1263"/>
          </w:tcPr>
          <w:p>
            <w:pPr>
              <w:spacing w:line="240" w:lineRule="auto"/>
            </w:pPr>
            <w:r/>
            <w:r>
              <w:rPr>
                <w:rFonts w:ascii="Times New Roman" w:hAnsi="Times New Roman"/>
                <w:b w:val="0"/>
                <w:sz w:val="18"/>
              </w:rPr>
              <w:t>12 vizsgálat</w:t>
            </w:r>
          </w:p>
        </w:tc>
        <w:tc>
          <w:tcPr>
            <w:tcW w:type="dxa" w:w="1263"/>
          </w:tcPr>
          <w:p>
            <w:pPr>
              <w:spacing w:line="240" w:lineRule="auto"/>
            </w:pPr>
            <w:r/>
            <w:r>
              <w:rPr>
                <w:rFonts w:ascii="Times New Roman" w:hAnsi="Times New Roman"/>
                <w:b w:val="0"/>
                <w:sz w:val="18"/>
              </w:rPr>
              <w:t>változó</w:t>
            </w:r>
          </w:p>
        </w:tc>
        <w:tc>
          <w:tcPr>
            <w:tcW w:type="dxa" w:w="1263"/>
          </w:tcPr>
          <w:p>
            <w:pPr>
              <w:spacing w:line="240" w:lineRule="auto"/>
            </w:pPr>
            <w:r/>
            <w:r>
              <w:rPr>
                <w:rFonts w:ascii="Times New Roman" w:hAnsi="Times New Roman"/>
                <w:b w:val="0"/>
                <w:sz w:val="18"/>
              </w:rPr>
              <w:t>HbA1c-csökkenés</w:t>
            </w:r>
          </w:p>
        </w:tc>
        <w:tc>
          <w:tcPr>
            <w:tcW w:type="dxa" w:w="1263"/>
          </w:tcPr>
          <w:p>
            <w:pPr>
              <w:spacing w:line="240" w:lineRule="auto"/>
            </w:pPr>
            <w:r/>
            <w:r>
              <w:rPr>
                <w:rFonts w:ascii="Times New Roman" w:hAnsi="Times New Roman"/>
                <w:b w:val="0"/>
                <w:sz w:val="18"/>
              </w:rPr>
              <w:t>a liraglutid – önmagában és metforminnal – a leghatékonyabb szerek között</w:t>
            </w:r>
          </w:p>
        </w:tc>
      </w:tr>
    </w:tbl>
    <w:p>
      <w:pPr>
        <w:spacing w:after="80"/>
      </w:pPr>
    </w:p>
    <w:p>
      <w:pPr>
        <w:spacing w:line="240" w:lineRule="auto"/>
      </w:pPr>
      <w:r>
        <w:rPr>
          <w:b w:val="0"/>
          <w:i/>
          <w:sz w:val="18"/>
        </w:rPr>
        <w:t>A korosztályon kívüli, de a mérlegelés szempontjából releváns bizonyíték: a SURMOUNT-programok post hoc elemzésében (n = 3782, felnőttek) a 25 éves kor előtt diagnosztizált obesitasban szenvedők hosszabb betegségtartammal és magasabb kiindulási BMI-vel léptek a tirzepatid-kezelésbe [20]. A SELECT vizsgálatban (n = 17 604, 45 év feletti felnőttek kardiovaszkuláris betegséggel) a szemaglutid 20%-kal csökkentette a major kardiovaszkuláris események kockázatát [31], miközben a testsúlycsökkenés négy év alatt átlagosan 10,2% volt [32]. A tirzepatid 18 éves kor alatt nem törzskönyvezett, és mechanisztikailag sem vonható össze a GLP-1 receptor agonistákkal.</w:t>
      </w:r>
    </w:p>
    <w:p>
      <w:pPr>
        <w:spacing w:line="240" w:lineRule="auto"/>
      </w:pPr>
      <w:r>
        <w:rPr>
          <w:b w:val="0"/>
          <w:i/>
          <w:sz w:val="18"/>
        </w:rPr>
        <w:t>Rövidítések: BMI = testtömegindex; BMI-SDS = BMI-standard deviációs pontszám; CI = konfidenciaintervallum.</w:t>
      </w:r>
    </w:p>
    <w:p>
      <w:r>
        <w:br w:type="page"/>
      </w:r>
    </w:p>
    <w:p>
      <w:pPr>
        <w:spacing w:before="0" w:after="120"/>
      </w:pPr>
      <w:r>
        <w:rPr>
          <w:b/>
          <w:sz w:val="24"/>
        </w:rPr>
        <w:t>2. táblázat. Az obesitas-asszociált nőgyógyászati és társbetegségek élettartam-terhe a modellben</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pPr>
              <w:spacing w:line="240" w:lineRule="auto"/>
            </w:pPr>
            <w:r/>
            <w:r>
              <w:rPr>
                <w:rFonts w:ascii="Times New Roman" w:hAnsi="Times New Roman"/>
                <w:b/>
                <w:sz w:val="18"/>
              </w:rPr>
              <w:t>Kimenet</w:t>
            </w:r>
          </w:p>
        </w:tc>
        <w:tc>
          <w:tcPr>
            <w:tcW w:type="dxa" w:w="1768"/>
          </w:tcPr>
          <w:p>
            <w:pPr>
              <w:spacing w:line="240" w:lineRule="auto"/>
            </w:pPr>
            <w:r/>
            <w:r>
              <w:rPr>
                <w:rFonts w:ascii="Times New Roman" w:hAnsi="Times New Roman"/>
                <w:b/>
                <w:sz w:val="18"/>
              </w:rPr>
              <w:t>Esemény/1000 nő (B pálya)</w:t>
            </w:r>
          </w:p>
        </w:tc>
        <w:tc>
          <w:tcPr>
            <w:tcW w:type="dxa" w:w="1768"/>
          </w:tcPr>
          <w:p>
            <w:pPr>
              <w:spacing w:line="240" w:lineRule="auto"/>
            </w:pPr>
            <w:r/>
            <w:r>
              <w:rPr>
                <w:rFonts w:ascii="Times New Roman" w:hAnsi="Times New Roman"/>
                <w:b/>
                <w:sz w:val="18"/>
              </w:rPr>
              <w:t>Esemény/1000 nő (C pálya)</w:t>
            </w:r>
          </w:p>
        </w:tc>
        <w:tc>
          <w:tcPr>
            <w:tcW w:type="dxa" w:w="1768"/>
          </w:tcPr>
          <w:p>
            <w:pPr>
              <w:spacing w:line="240" w:lineRule="auto"/>
            </w:pPr>
            <w:r/>
            <w:r>
              <w:rPr>
                <w:rFonts w:ascii="Times New Roman" w:hAnsi="Times New Roman"/>
                <w:b/>
                <w:sz w:val="18"/>
              </w:rPr>
              <w:t>Elhárított esemény</w:t>
            </w:r>
          </w:p>
        </w:tc>
        <w:tc>
          <w:tcPr>
            <w:tcW w:type="dxa" w:w="1768"/>
          </w:tcPr>
          <w:p>
            <w:pPr>
              <w:spacing w:line="240" w:lineRule="auto"/>
            </w:pPr>
            <w:r/>
            <w:r>
              <w:rPr>
                <w:rFonts w:ascii="Times New Roman" w:hAnsi="Times New Roman"/>
                <w:b/>
                <w:sz w:val="18"/>
              </w:rPr>
              <w:t>A kezelési hatás bizonyítéki alapja</w:t>
            </w:r>
          </w:p>
        </w:tc>
      </w:tr>
      <w:tr>
        <w:tc>
          <w:tcPr>
            <w:tcW w:type="dxa" w:w="1768"/>
          </w:tcPr>
          <w:p>
            <w:pPr>
              <w:spacing w:line="240" w:lineRule="auto"/>
            </w:pPr>
            <w:r/>
            <w:r>
              <w:rPr>
                <w:rFonts w:ascii="Times New Roman" w:hAnsi="Times New Roman"/>
                <w:b w:val="0"/>
                <w:sz w:val="18"/>
              </w:rPr>
              <w:t>PCOS-fenotípus (klinikai diagnózis)</w:t>
            </w:r>
          </w:p>
        </w:tc>
        <w:tc>
          <w:tcPr>
            <w:tcW w:type="dxa" w:w="1768"/>
          </w:tcPr>
          <w:p>
            <w:pPr>
              <w:spacing w:line="240" w:lineRule="auto"/>
            </w:pPr>
            <w:r/>
            <w:r>
              <w:rPr>
                <w:rFonts w:ascii="Times New Roman" w:hAnsi="Times New Roman"/>
                <w:b w:val="0"/>
                <w:sz w:val="18"/>
              </w:rPr>
              <w:t>420</w:t>
            </w:r>
          </w:p>
        </w:tc>
        <w:tc>
          <w:tcPr>
            <w:tcW w:type="dxa" w:w="1768"/>
          </w:tcPr>
          <w:p>
            <w:pPr>
              <w:spacing w:line="240" w:lineRule="auto"/>
            </w:pPr>
            <w:r/>
            <w:r>
              <w:rPr>
                <w:rFonts w:ascii="Times New Roman" w:hAnsi="Times New Roman"/>
                <w:b w:val="0"/>
                <w:sz w:val="18"/>
              </w:rPr>
              <w:t>281</w:t>
            </w:r>
          </w:p>
        </w:tc>
        <w:tc>
          <w:tcPr>
            <w:tcW w:type="dxa" w:w="1768"/>
          </w:tcPr>
          <w:p>
            <w:pPr>
              <w:spacing w:line="240" w:lineRule="auto"/>
            </w:pPr>
            <w:r/>
            <w:r>
              <w:rPr>
                <w:rFonts w:ascii="Times New Roman" w:hAnsi="Times New Roman"/>
                <w:b w:val="0"/>
                <w:sz w:val="18"/>
              </w:rPr>
              <w:t>139</w:t>
            </w:r>
          </w:p>
        </w:tc>
        <w:tc>
          <w:tcPr>
            <w:tcW w:type="dxa" w:w="1768"/>
          </w:tcPr>
          <w:p>
            <w:pPr>
              <w:spacing w:line="240" w:lineRule="auto"/>
            </w:pPr>
            <w:r/>
            <w:r>
              <w:rPr>
                <w:rFonts w:ascii="Times New Roman" w:hAnsi="Times New Roman"/>
                <w:b w:val="0"/>
                <w:sz w:val="18"/>
              </w:rPr>
              <w:t>felnőttkori randomizált adat, serdülőkorra extrapolálva [21, 24]</w:t>
            </w:r>
          </w:p>
        </w:tc>
      </w:tr>
      <w:tr>
        <w:tc>
          <w:tcPr>
            <w:tcW w:type="dxa" w:w="1768"/>
          </w:tcPr>
          <w:p>
            <w:pPr>
              <w:spacing w:line="240" w:lineRule="auto"/>
            </w:pPr>
            <w:r/>
            <w:r>
              <w:rPr>
                <w:rFonts w:ascii="Times New Roman" w:hAnsi="Times New Roman"/>
                <w:b w:val="0"/>
                <w:sz w:val="18"/>
              </w:rPr>
              <w:t>Anovulációs infertilitás (kezelést igénylő)</w:t>
            </w:r>
          </w:p>
        </w:tc>
        <w:tc>
          <w:tcPr>
            <w:tcW w:type="dxa" w:w="1768"/>
          </w:tcPr>
          <w:p>
            <w:pPr>
              <w:spacing w:line="240" w:lineRule="auto"/>
            </w:pPr>
            <w:r/>
            <w:r>
              <w:rPr>
                <w:rFonts w:ascii="Times New Roman" w:hAnsi="Times New Roman"/>
                <w:b w:val="0"/>
                <w:sz w:val="18"/>
              </w:rPr>
              <w:t>210</w:t>
            </w:r>
          </w:p>
        </w:tc>
        <w:tc>
          <w:tcPr>
            <w:tcW w:type="dxa" w:w="1768"/>
          </w:tcPr>
          <w:p>
            <w:pPr>
              <w:spacing w:line="240" w:lineRule="auto"/>
            </w:pPr>
            <w:r/>
            <w:r>
              <w:rPr>
                <w:rFonts w:ascii="Times New Roman" w:hAnsi="Times New Roman"/>
                <w:b w:val="0"/>
                <w:sz w:val="18"/>
              </w:rPr>
              <w:t>141</w:t>
            </w:r>
          </w:p>
        </w:tc>
        <w:tc>
          <w:tcPr>
            <w:tcW w:type="dxa" w:w="1768"/>
          </w:tcPr>
          <w:p>
            <w:pPr>
              <w:spacing w:line="240" w:lineRule="auto"/>
            </w:pPr>
            <w:r/>
            <w:r>
              <w:rPr>
                <w:rFonts w:ascii="Times New Roman" w:hAnsi="Times New Roman"/>
                <w:b w:val="0"/>
                <w:sz w:val="18"/>
              </w:rPr>
              <w:t>69</w:t>
            </w:r>
          </w:p>
        </w:tc>
        <w:tc>
          <w:tcPr>
            <w:tcW w:type="dxa" w:w="1768"/>
          </w:tcPr>
          <w:p>
            <w:pPr>
              <w:spacing w:line="240" w:lineRule="auto"/>
            </w:pPr>
            <w:r/>
            <w:r>
              <w:rPr>
                <w:rFonts w:ascii="Times New Roman" w:hAnsi="Times New Roman"/>
                <w:b w:val="0"/>
                <w:sz w:val="18"/>
              </w:rPr>
              <w:t>felnőttkori randomizált adat [21, 22]</w:t>
            </w:r>
          </w:p>
        </w:tc>
      </w:tr>
      <w:tr>
        <w:tc>
          <w:tcPr>
            <w:tcW w:type="dxa" w:w="1768"/>
          </w:tcPr>
          <w:p>
            <w:pPr>
              <w:spacing w:line="240" w:lineRule="auto"/>
            </w:pPr>
            <w:r/>
            <w:r>
              <w:rPr>
                <w:rFonts w:ascii="Times New Roman" w:hAnsi="Times New Roman"/>
                <w:b w:val="0"/>
                <w:sz w:val="18"/>
              </w:rPr>
              <w:t>Gestatiós diabetes</w:t>
            </w:r>
          </w:p>
        </w:tc>
        <w:tc>
          <w:tcPr>
            <w:tcW w:type="dxa" w:w="1768"/>
          </w:tcPr>
          <w:p>
            <w:pPr>
              <w:spacing w:line="240" w:lineRule="auto"/>
            </w:pPr>
            <w:r/>
            <w:r>
              <w:rPr>
                <w:rFonts w:ascii="Times New Roman" w:hAnsi="Times New Roman"/>
                <w:b w:val="0"/>
                <w:sz w:val="18"/>
              </w:rPr>
              <w:t>180</w:t>
            </w:r>
          </w:p>
        </w:tc>
        <w:tc>
          <w:tcPr>
            <w:tcW w:type="dxa" w:w="1768"/>
          </w:tcPr>
          <w:p>
            <w:pPr>
              <w:spacing w:line="240" w:lineRule="auto"/>
            </w:pPr>
            <w:r/>
            <w:r>
              <w:rPr>
                <w:rFonts w:ascii="Times New Roman" w:hAnsi="Times New Roman"/>
                <w:b w:val="0"/>
                <w:sz w:val="18"/>
              </w:rPr>
              <w:t>115</w:t>
            </w:r>
          </w:p>
        </w:tc>
        <w:tc>
          <w:tcPr>
            <w:tcW w:type="dxa" w:w="1768"/>
          </w:tcPr>
          <w:p>
            <w:pPr>
              <w:spacing w:line="240" w:lineRule="auto"/>
            </w:pPr>
            <w:r/>
            <w:r>
              <w:rPr>
                <w:rFonts w:ascii="Times New Roman" w:hAnsi="Times New Roman"/>
                <w:b w:val="0"/>
                <w:sz w:val="18"/>
              </w:rPr>
              <w:t>65</w:t>
            </w:r>
          </w:p>
        </w:tc>
        <w:tc>
          <w:tcPr>
            <w:tcW w:type="dxa" w:w="1768"/>
          </w:tcPr>
          <w:p>
            <w:pPr>
              <w:spacing w:line="240" w:lineRule="auto"/>
            </w:pPr>
            <w:r/>
            <w:r>
              <w:rPr>
                <w:rFonts w:ascii="Times New Roman" w:hAnsi="Times New Roman"/>
                <w:b w:val="0"/>
                <w:sz w:val="18"/>
              </w:rPr>
              <w:t>metabolikus közvetítő út, preconceptionalis testsúly [33]</w:t>
            </w:r>
          </w:p>
        </w:tc>
      </w:tr>
      <w:tr>
        <w:tc>
          <w:tcPr>
            <w:tcW w:type="dxa" w:w="1768"/>
          </w:tcPr>
          <w:p>
            <w:pPr>
              <w:spacing w:line="240" w:lineRule="auto"/>
            </w:pPr>
            <w:r/>
            <w:r>
              <w:rPr>
                <w:rFonts w:ascii="Times New Roman" w:hAnsi="Times New Roman"/>
                <w:b w:val="0"/>
                <w:sz w:val="18"/>
              </w:rPr>
              <w:t>Hypertensiv kórkép</w:t>
            </w:r>
          </w:p>
        </w:tc>
        <w:tc>
          <w:tcPr>
            <w:tcW w:type="dxa" w:w="1768"/>
          </w:tcPr>
          <w:p>
            <w:pPr>
              <w:spacing w:line="240" w:lineRule="auto"/>
            </w:pPr>
            <w:r/>
            <w:r>
              <w:rPr>
                <w:rFonts w:ascii="Times New Roman" w:hAnsi="Times New Roman"/>
                <w:b w:val="0"/>
                <w:sz w:val="18"/>
              </w:rPr>
              <w:t>340</w:t>
            </w:r>
          </w:p>
        </w:tc>
        <w:tc>
          <w:tcPr>
            <w:tcW w:type="dxa" w:w="1768"/>
          </w:tcPr>
          <w:p>
            <w:pPr>
              <w:spacing w:line="240" w:lineRule="auto"/>
            </w:pPr>
            <w:r/>
            <w:r>
              <w:rPr>
                <w:rFonts w:ascii="Times New Roman" w:hAnsi="Times New Roman"/>
                <w:b w:val="0"/>
                <w:sz w:val="18"/>
              </w:rPr>
              <w:t>228</w:t>
            </w:r>
          </w:p>
        </w:tc>
        <w:tc>
          <w:tcPr>
            <w:tcW w:type="dxa" w:w="1768"/>
          </w:tcPr>
          <w:p>
            <w:pPr>
              <w:spacing w:line="240" w:lineRule="auto"/>
            </w:pPr>
            <w:r/>
            <w:r>
              <w:rPr>
                <w:rFonts w:ascii="Times New Roman" w:hAnsi="Times New Roman"/>
                <w:b w:val="0"/>
                <w:sz w:val="18"/>
              </w:rPr>
              <w:t>112</w:t>
            </w:r>
          </w:p>
        </w:tc>
        <w:tc>
          <w:tcPr>
            <w:tcW w:type="dxa" w:w="1768"/>
          </w:tcPr>
          <w:p>
            <w:pPr>
              <w:spacing w:line="240" w:lineRule="auto"/>
            </w:pPr>
            <w:r/>
            <w:r>
              <w:rPr>
                <w:rFonts w:ascii="Times New Roman" w:hAnsi="Times New Roman"/>
                <w:b w:val="0"/>
                <w:sz w:val="18"/>
              </w:rPr>
              <w:t>randomizált metaanalízis (vérnyomás-hatás) [27]</w:t>
            </w:r>
          </w:p>
        </w:tc>
      </w:tr>
      <w:tr>
        <w:tc>
          <w:tcPr>
            <w:tcW w:type="dxa" w:w="1768"/>
          </w:tcPr>
          <w:p>
            <w:pPr>
              <w:spacing w:line="240" w:lineRule="auto"/>
            </w:pPr>
            <w:r/>
            <w:r>
              <w:rPr>
                <w:rFonts w:ascii="Times New Roman" w:hAnsi="Times New Roman"/>
                <w:b w:val="0"/>
                <w:sz w:val="18"/>
              </w:rPr>
              <w:t>2-es típusú diabetes</w:t>
            </w:r>
          </w:p>
        </w:tc>
        <w:tc>
          <w:tcPr>
            <w:tcW w:type="dxa" w:w="1768"/>
          </w:tcPr>
          <w:p>
            <w:pPr>
              <w:spacing w:line="240" w:lineRule="auto"/>
            </w:pPr>
            <w:r/>
            <w:r>
              <w:rPr>
                <w:rFonts w:ascii="Times New Roman" w:hAnsi="Times New Roman"/>
                <w:b w:val="0"/>
                <w:sz w:val="18"/>
              </w:rPr>
              <w:t>260</w:t>
            </w:r>
          </w:p>
        </w:tc>
        <w:tc>
          <w:tcPr>
            <w:tcW w:type="dxa" w:w="1768"/>
          </w:tcPr>
          <w:p>
            <w:pPr>
              <w:spacing w:line="240" w:lineRule="auto"/>
            </w:pPr>
            <w:r/>
            <w:r>
              <w:rPr>
                <w:rFonts w:ascii="Times New Roman" w:hAnsi="Times New Roman"/>
                <w:b w:val="0"/>
                <w:sz w:val="18"/>
              </w:rPr>
              <w:t>159</w:t>
            </w:r>
          </w:p>
        </w:tc>
        <w:tc>
          <w:tcPr>
            <w:tcW w:type="dxa" w:w="1768"/>
          </w:tcPr>
          <w:p>
            <w:pPr>
              <w:spacing w:line="240" w:lineRule="auto"/>
            </w:pPr>
            <w:r/>
            <w:r>
              <w:rPr>
                <w:rFonts w:ascii="Times New Roman" w:hAnsi="Times New Roman"/>
                <w:b w:val="0"/>
                <w:sz w:val="18"/>
              </w:rPr>
              <w:t>101</w:t>
            </w:r>
          </w:p>
        </w:tc>
        <w:tc>
          <w:tcPr>
            <w:tcW w:type="dxa" w:w="1768"/>
          </w:tcPr>
          <w:p>
            <w:pPr>
              <w:spacing w:line="240" w:lineRule="auto"/>
            </w:pPr>
            <w:r/>
            <w:r>
              <w:rPr>
                <w:rFonts w:ascii="Times New Roman" w:hAnsi="Times New Roman"/>
                <w:b w:val="0"/>
                <w:sz w:val="18"/>
              </w:rPr>
              <w:t>randomizált adat a korosztályban [19]</w:t>
            </w:r>
          </w:p>
        </w:tc>
      </w:tr>
      <w:tr>
        <w:tc>
          <w:tcPr>
            <w:tcW w:type="dxa" w:w="1768"/>
          </w:tcPr>
          <w:p>
            <w:pPr>
              <w:spacing w:line="240" w:lineRule="auto"/>
            </w:pPr>
            <w:r/>
            <w:r>
              <w:rPr>
                <w:rFonts w:ascii="Times New Roman" w:hAnsi="Times New Roman"/>
                <w:b w:val="0"/>
                <w:sz w:val="18"/>
              </w:rPr>
              <w:t>Endometrium- és emlőcarcinoma</w:t>
            </w:r>
          </w:p>
        </w:tc>
        <w:tc>
          <w:tcPr>
            <w:tcW w:type="dxa" w:w="1768"/>
          </w:tcPr>
          <w:p>
            <w:pPr>
              <w:spacing w:line="240" w:lineRule="auto"/>
            </w:pPr>
            <w:r/>
            <w:r>
              <w:rPr>
                <w:rFonts w:ascii="Times New Roman" w:hAnsi="Times New Roman"/>
                <w:b w:val="0"/>
                <w:sz w:val="18"/>
              </w:rPr>
              <w:t>72</w:t>
            </w:r>
          </w:p>
        </w:tc>
        <w:tc>
          <w:tcPr>
            <w:tcW w:type="dxa" w:w="1768"/>
          </w:tcPr>
          <w:p>
            <w:pPr>
              <w:spacing w:line="240" w:lineRule="auto"/>
            </w:pPr>
            <w:r/>
            <w:r>
              <w:rPr>
                <w:rFonts w:ascii="Times New Roman" w:hAnsi="Times New Roman"/>
                <w:b w:val="0"/>
                <w:sz w:val="18"/>
              </w:rPr>
              <w:t>57</w:t>
            </w:r>
          </w:p>
        </w:tc>
        <w:tc>
          <w:tcPr>
            <w:tcW w:type="dxa" w:w="1768"/>
          </w:tcPr>
          <w:p>
            <w:pPr>
              <w:spacing w:line="240" w:lineRule="auto"/>
            </w:pPr>
            <w:r/>
            <w:r>
              <w:rPr>
                <w:rFonts w:ascii="Times New Roman" w:hAnsi="Times New Roman"/>
                <w:b w:val="0"/>
                <w:sz w:val="18"/>
              </w:rPr>
              <w:t>15</w:t>
            </w:r>
          </w:p>
        </w:tc>
        <w:tc>
          <w:tcPr>
            <w:tcW w:type="dxa" w:w="1768"/>
          </w:tcPr>
          <w:p>
            <w:pPr>
              <w:spacing w:line="240" w:lineRule="auto"/>
            </w:pPr>
            <w:r/>
            <w:r>
              <w:rPr>
                <w:rFonts w:ascii="Times New Roman" w:hAnsi="Times New Roman"/>
                <w:b w:val="0"/>
                <w:sz w:val="18"/>
              </w:rPr>
              <w:t>epidemiológiai összefüggés, expozíciós idő [29, 30]</w:t>
            </w:r>
          </w:p>
        </w:tc>
      </w:tr>
      <w:tr>
        <w:tc>
          <w:tcPr>
            <w:tcW w:type="dxa" w:w="1768"/>
          </w:tcPr>
          <w:p>
            <w:pPr>
              <w:spacing w:line="240" w:lineRule="auto"/>
            </w:pPr>
            <w:r/>
            <w:r>
              <w:rPr>
                <w:rFonts w:ascii="Times New Roman" w:hAnsi="Times New Roman"/>
                <w:b w:val="0"/>
                <w:sz w:val="18"/>
              </w:rPr>
              <w:t>Mozgásszervi/autoimmun terhelés (kezelt)</w:t>
            </w:r>
          </w:p>
        </w:tc>
        <w:tc>
          <w:tcPr>
            <w:tcW w:type="dxa" w:w="1768"/>
          </w:tcPr>
          <w:p>
            <w:pPr>
              <w:spacing w:line="240" w:lineRule="auto"/>
            </w:pPr>
            <w:r/>
            <w:r>
              <w:rPr>
                <w:rFonts w:ascii="Times New Roman" w:hAnsi="Times New Roman"/>
                <w:b w:val="0"/>
                <w:sz w:val="18"/>
              </w:rPr>
              <w:t>300</w:t>
            </w:r>
          </w:p>
        </w:tc>
        <w:tc>
          <w:tcPr>
            <w:tcW w:type="dxa" w:w="1768"/>
          </w:tcPr>
          <w:p>
            <w:pPr>
              <w:spacing w:line="240" w:lineRule="auto"/>
            </w:pPr>
            <w:r/>
            <w:r>
              <w:rPr>
                <w:rFonts w:ascii="Times New Roman" w:hAnsi="Times New Roman"/>
                <w:b w:val="0"/>
                <w:sz w:val="18"/>
              </w:rPr>
              <w:t>219</w:t>
            </w:r>
          </w:p>
        </w:tc>
        <w:tc>
          <w:tcPr>
            <w:tcW w:type="dxa" w:w="1768"/>
          </w:tcPr>
          <w:p>
            <w:pPr>
              <w:spacing w:line="240" w:lineRule="auto"/>
            </w:pPr>
            <w:r/>
            <w:r>
              <w:rPr>
                <w:rFonts w:ascii="Times New Roman" w:hAnsi="Times New Roman"/>
                <w:b w:val="0"/>
                <w:sz w:val="18"/>
              </w:rPr>
              <w:t>81</w:t>
            </w:r>
          </w:p>
        </w:tc>
        <w:tc>
          <w:tcPr>
            <w:tcW w:type="dxa" w:w="1768"/>
          </w:tcPr>
          <w:p>
            <w:pPr>
              <w:spacing w:line="240" w:lineRule="auto"/>
            </w:pPr>
            <w:r/>
            <w:r>
              <w:rPr>
                <w:rFonts w:ascii="Times New Roman" w:hAnsi="Times New Roman"/>
                <w:b w:val="0"/>
                <w:sz w:val="18"/>
              </w:rPr>
              <w:t>randomizált metaanalízis (fájdalom) [28]</w:t>
            </w:r>
          </w:p>
        </w:tc>
      </w:tr>
      <w:tr>
        <w:tc>
          <w:tcPr>
            <w:tcW w:type="dxa" w:w="1768"/>
          </w:tcPr>
          <w:p>
            <w:pPr>
              <w:spacing w:line="240" w:lineRule="auto"/>
            </w:pPr>
            <w:r/>
            <w:r>
              <w:rPr>
                <w:rFonts w:ascii="Times New Roman" w:hAnsi="Times New Roman"/>
                <w:b/>
                <w:sz w:val="18"/>
              </w:rPr>
              <w:t>Összesen</w:t>
            </w:r>
          </w:p>
        </w:tc>
        <w:tc>
          <w:tcPr>
            <w:tcW w:type="dxa" w:w="1768"/>
          </w:tcPr>
          <w:p>
            <w:pPr>
              <w:spacing w:line="240" w:lineRule="auto"/>
            </w:pPr>
            <w:r/>
            <w:r>
              <w:rPr>
                <w:rFonts w:ascii="Times New Roman" w:hAnsi="Times New Roman"/>
                <w:b/>
                <w:sz w:val="18"/>
              </w:rPr>
              <w:t>1782</w:t>
            </w:r>
          </w:p>
        </w:tc>
        <w:tc>
          <w:tcPr>
            <w:tcW w:type="dxa" w:w="1768"/>
          </w:tcPr>
          <w:p>
            <w:pPr>
              <w:spacing w:line="240" w:lineRule="auto"/>
            </w:pPr>
            <w:r/>
            <w:r>
              <w:rPr>
                <w:rFonts w:ascii="Times New Roman" w:hAnsi="Times New Roman"/>
                <w:b/>
                <w:sz w:val="18"/>
              </w:rPr>
              <w:t>1200</w:t>
            </w:r>
          </w:p>
        </w:tc>
        <w:tc>
          <w:tcPr>
            <w:tcW w:type="dxa" w:w="1768"/>
          </w:tcPr>
          <w:p>
            <w:pPr>
              <w:spacing w:line="240" w:lineRule="auto"/>
            </w:pPr>
            <w:r/>
            <w:r>
              <w:rPr>
                <w:rFonts w:ascii="Times New Roman" w:hAnsi="Times New Roman"/>
                <w:b/>
                <w:sz w:val="18"/>
              </w:rPr>
              <w:t>582</w:t>
            </w:r>
          </w:p>
        </w:tc>
        <w:tc>
          <w:tcPr>
            <w:tcW w:type="dxa" w:w="1768"/>
          </w:tcPr>
          <w:p>
            <w:pPr>
              <w:spacing w:line="240" w:lineRule="auto"/>
            </w:pPr>
            <w:r/>
            <w:r>
              <w:rPr>
                <w:rFonts w:ascii="Times New Roman" w:hAnsi="Times New Roman"/>
                <w:b w:val="0"/>
                <w:sz w:val="18"/>
              </w:rPr>
              <w:t>–</w:t>
            </w:r>
          </w:p>
        </w:tc>
      </w:tr>
    </w:tbl>
    <w:p>
      <w:pPr>
        <w:spacing w:after="80"/>
      </w:pPr>
    </w:p>
    <w:p>
      <w:pPr>
        <w:spacing w:line="240" w:lineRule="auto"/>
      </w:pPr>
      <w:r>
        <w:rPr>
          <w:b w:val="0"/>
          <w:i/>
          <w:sz w:val="18"/>
        </w:rPr>
        <w:t>Megjegyzés: Szemléltető modell 1000 obes leány 14–65 év közötti követésére. Az esemény-gyakoriságok és a kezelési hatás mértéke irodalmi nagyságrendekre támaszkodó feltételezések, nem mért incidenciaértékek. Egy nő több kimenetet is elszenvedhet, ezért az összeg eseményszám, nem személyszám.</w:t>
      </w:r>
    </w:p>
    <w:p>
      <w:r>
        <w:br w:type="page"/>
      </w:r>
    </w:p>
    <w:p>
      <w:pPr>
        <w:spacing w:before="0" w:after="120"/>
      </w:pPr>
      <w:r>
        <w:rPr>
          <w:b/>
          <w:sz w:val="24"/>
        </w:rPr>
        <w:t>3. táblázat. A három életpálya társadalmi költségmérlege (14–65 év, 3%/év diszkontálással, millió Ft/fő)</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tcPr>
          <w:p>
            <w:pPr>
              <w:spacing w:line="240" w:lineRule="auto"/>
            </w:pPr>
            <w:r/>
            <w:r>
              <w:rPr>
                <w:rFonts w:ascii="Times New Roman" w:hAnsi="Times New Roman"/>
                <w:b/>
                <w:sz w:val="18"/>
              </w:rPr>
              <w:t>Havi gyógyszerár</w:t>
            </w:r>
          </w:p>
        </w:tc>
        <w:tc>
          <w:tcPr>
            <w:tcW w:type="dxa" w:w="1263"/>
          </w:tcPr>
          <w:p>
            <w:pPr>
              <w:spacing w:line="240" w:lineRule="auto"/>
            </w:pPr>
            <w:r/>
            <w:r>
              <w:rPr>
                <w:rFonts w:ascii="Times New Roman" w:hAnsi="Times New Roman"/>
                <w:b/>
                <w:sz w:val="18"/>
              </w:rPr>
              <w:t>A pálya (normál testalkat)</w:t>
            </w:r>
          </w:p>
        </w:tc>
        <w:tc>
          <w:tcPr>
            <w:tcW w:type="dxa" w:w="1263"/>
          </w:tcPr>
          <w:p>
            <w:pPr>
              <w:spacing w:line="240" w:lineRule="auto"/>
            </w:pPr>
            <w:r/>
            <w:r>
              <w:rPr>
                <w:rFonts w:ascii="Times New Roman" w:hAnsi="Times New Roman"/>
                <w:b/>
                <w:sz w:val="18"/>
              </w:rPr>
              <w:t>B pálya (obesitas, kezelés nélkül)</w:t>
            </w:r>
          </w:p>
        </w:tc>
        <w:tc>
          <w:tcPr>
            <w:tcW w:type="dxa" w:w="1263"/>
          </w:tcPr>
          <w:p>
            <w:pPr>
              <w:spacing w:line="240" w:lineRule="auto"/>
            </w:pPr>
            <w:r/>
            <w:r>
              <w:rPr>
                <w:rFonts w:ascii="Times New Roman" w:hAnsi="Times New Roman"/>
                <w:b/>
                <w:sz w:val="18"/>
              </w:rPr>
              <w:t>C pálya (GLP-1RA)</w:t>
            </w:r>
          </w:p>
        </w:tc>
        <w:tc>
          <w:tcPr>
            <w:tcW w:type="dxa" w:w="1263"/>
          </w:tcPr>
          <w:p>
            <w:pPr>
              <w:spacing w:line="240" w:lineRule="auto"/>
            </w:pPr>
            <w:r/>
            <w:r>
              <w:rPr>
                <w:rFonts w:ascii="Times New Roman" w:hAnsi="Times New Roman"/>
                <w:b/>
                <w:sz w:val="18"/>
              </w:rPr>
              <w:t>**Nettó mérleg a B pályához képest**</w:t>
            </w:r>
          </w:p>
        </w:tc>
        <w:tc>
          <w:tcPr>
            <w:tcW w:type="dxa" w:w="1263"/>
          </w:tcPr>
          <w:p>
            <w:pPr>
              <w:spacing w:line="240" w:lineRule="auto"/>
            </w:pPr>
            <w:r/>
            <w:r>
              <w:rPr>
                <w:rFonts w:ascii="Times New Roman" w:hAnsi="Times New Roman"/>
                <w:b/>
                <w:sz w:val="18"/>
              </w:rPr>
              <w:t>Ugyanez csak közvetlen ellátási költséggel</w:t>
            </w:r>
          </w:p>
        </w:tc>
        <w:tc>
          <w:tcPr>
            <w:tcW w:type="dxa" w:w="1263"/>
          </w:tcPr>
          <w:p>
            <w:pPr>
              <w:spacing w:line="240" w:lineRule="auto"/>
            </w:pPr>
            <w:r/>
            <w:r>
              <w:rPr>
                <w:rFonts w:ascii="Times New Roman" w:hAnsi="Times New Roman"/>
                <w:b/>
                <w:sz w:val="18"/>
              </w:rPr>
              <w:t>A megtakarítás valószínűsége (PSA)</w:t>
            </w:r>
          </w:p>
        </w:tc>
      </w:tr>
      <w:tr>
        <w:tc>
          <w:tcPr>
            <w:tcW w:type="dxa" w:w="1263"/>
          </w:tcPr>
          <w:p>
            <w:pPr>
              <w:spacing w:line="240" w:lineRule="auto"/>
            </w:pPr>
            <w:r/>
            <w:r>
              <w:rPr>
                <w:rFonts w:ascii="Times New Roman" w:hAnsi="Times New Roman"/>
                <w:b w:val="0"/>
                <w:sz w:val="18"/>
              </w:rPr>
              <w:t>5 000 Ft/hó</w:t>
            </w:r>
          </w:p>
        </w:tc>
        <w:tc>
          <w:tcPr>
            <w:tcW w:type="dxa" w:w="1263"/>
          </w:tcPr>
          <w:p>
            <w:pPr>
              <w:spacing w:line="240" w:lineRule="auto"/>
            </w:pPr>
            <w:r/>
            <w:r>
              <w:rPr>
                <w:rFonts w:ascii="Times New Roman" w:hAnsi="Times New Roman"/>
                <w:b w:val="0"/>
                <w:sz w:val="18"/>
              </w:rPr>
              <w:t>5,3</w:t>
            </w:r>
          </w:p>
        </w:tc>
        <w:tc>
          <w:tcPr>
            <w:tcW w:type="dxa" w:w="1263"/>
          </w:tcPr>
          <w:p>
            <w:pPr>
              <w:spacing w:line="240" w:lineRule="auto"/>
            </w:pPr>
            <w:r/>
            <w:r>
              <w:rPr>
                <w:rFonts w:ascii="Times New Roman" w:hAnsi="Times New Roman"/>
                <w:b w:val="0"/>
                <w:sz w:val="18"/>
              </w:rPr>
              <w:t>17,6</w:t>
            </w:r>
          </w:p>
        </w:tc>
        <w:tc>
          <w:tcPr>
            <w:tcW w:type="dxa" w:w="1263"/>
          </w:tcPr>
          <w:p>
            <w:pPr>
              <w:spacing w:line="240" w:lineRule="auto"/>
            </w:pPr>
            <w:r/>
            <w:r>
              <w:rPr>
                <w:rFonts w:ascii="Times New Roman" w:hAnsi="Times New Roman"/>
                <w:b w:val="0"/>
                <w:sz w:val="18"/>
              </w:rPr>
              <w:t>11,7</w:t>
            </w:r>
          </w:p>
        </w:tc>
        <w:tc>
          <w:tcPr>
            <w:tcW w:type="dxa" w:w="1263"/>
          </w:tcPr>
          <w:p>
            <w:pPr>
              <w:spacing w:line="240" w:lineRule="auto"/>
            </w:pPr>
            <w:r/>
            <w:r>
              <w:rPr>
                <w:rFonts w:ascii="Times New Roman" w:hAnsi="Times New Roman"/>
                <w:b/>
                <w:sz w:val="18"/>
              </w:rPr>
              <w:t>−5,9 (megtakarítás)</w:t>
            </w:r>
          </w:p>
        </w:tc>
        <w:tc>
          <w:tcPr>
            <w:tcW w:type="dxa" w:w="1263"/>
          </w:tcPr>
          <w:p>
            <w:pPr>
              <w:spacing w:line="240" w:lineRule="auto"/>
            </w:pPr>
            <w:r/>
            <w:r>
              <w:rPr>
                <w:rFonts w:ascii="Times New Roman" w:hAnsi="Times New Roman"/>
                <w:b w:val="0"/>
                <w:sz w:val="18"/>
              </w:rPr>
              <w:t>−3,9</w:t>
            </w:r>
          </w:p>
        </w:tc>
        <w:tc>
          <w:tcPr>
            <w:tcW w:type="dxa" w:w="1263"/>
          </w:tcPr>
          <w:p>
            <w:pPr>
              <w:spacing w:line="240" w:lineRule="auto"/>
            </w:pPr>
            <w:r/>
            <w:r>
              <w:rPr>
                <w:rFonts w:ascii="Times New Roman" w:hAnsi="Times New Roman"/>
                <w:b w:val="0"/>
                <w:sz w:val="18"/>
              </w:rPr>
              <w:t>100%</w:t>
            </w:r>
          </w:p>
        </w:tc>
      </w:tr>
      <w:tr>
        <w:tc>
          <w:tcPr>
            <w:tcW w:type="dxa" w:w="1263"/>
          </w:tcPr>
          <w:p>
            <w:pPr>
              <w:spacing w:line="240" w:lineRule="auto"/>
            </w:pPr>
            <w:r/>
            <w:r>
              <w:rPr>
                <w:rFonts w:ascii="Times New Roman" w:hAnsi="Times New Roman"/>
                <w:b w:val="0"/>
                <w:sz w:val="18"/>
              </w:rPr>
              <w:t>15 000 Ft/hó</w:t>
            </w:r>
          </w:p>
        </w:tc>
        <w:tc>
          <w:tcPr>
            <w:tcW w:type="dxa" w:w="1263"/>
          </w:tcPr>
          <w:p>
            <w:pPr>
              <w:spacing w:line="240" w:lineRule="auto"/>
            </w:pPr>
            <w:r/>
            <w:r>
              <w:rPr>
                <w:rFonts w:ascii="Times New Roman" w:hAnsi="Times New Roman"/>
                <w:b w:val="0"/>
                <w:sz w:val="18"/>
              </w:rPr>
              <w:t>5,3</w:t>
            </w:r>
          </w:p>
        </w:tc>
        <w:tc>
          <w:tcPr>
            <w:tcW w:type="dxa" w:w="1263"/>
          </w:tcPr>
          <w:p>
            <w:pPr>
              <w:spacing w:line="240" w:lineRule="auto"/>
            </w:pPr>
            <w:r/>
            <w:r>
              <w:rPr>
                <w:rFonts w:ascii="Times New Roman" w:hAnsi="Times New Roman"/>
                <w:b w:val="0"/>
                <w:sz w:val="18"/>
              </w:rPr>
              <w:t>17,6</w:t>
            </w:r>
          </w:p>
        </w:tc>
        <w:tc>
          <w:tcPr>
            <w:tcW w:type="dxa" w:w="1263"/>
          </w:tcPr>
          <w:p>
            <w:pPr>
              <w:spacing w:line="240" w:lineRule="auto"/>
            </w:pPr>
            <w:r/>
            <w:r>
              <w:rPr>
                <w:rFonts w:ascii="Times New Roman" w:hAnsi="Times New Roman"/>
                <w:b w:val="0"/>
                <w:sz w:val="18"/>
              </w:rPr>
              <w:t>14,9</w:t>
            </w:r>
          </w:p>
        </w:tc>
        <w:tc>
          <w:tcPr>
            <w:tcW w:type="dxa" w:w="1263"/>
          </w:tcPr>
          <w:p>
            <w:pPr>
              <w:spacing w:line="240" w:lineRule="auto"/>
            </w:pPr>
            <w:r/>
            <w:r>
              <w:rPr>
                <w:rFonts w:ascii="Times New Roman" w:hAnsi="Times New Roman"/>
                <w:b/>
                <w:sz w:val="18"/>
              </w:rPr>
              <w:t>−2,7 (megtakarítás)</w:t>
            </w:r>
          </w:p>
        </w:tc>
        <w:tc>
          <w:tcPr>
            <w:tcW w:type="dxa" w:w="1263"/>
          </w:tcPr>
          <w:p>
            <w:pPr>
              <w:spacing w:line="240" w:lineRule="auto"/>
            </w:pPr>
            <w:r/>
            <w:r>
              <w:rPr>
                <w:rFonts w:ascii="Times New Roman" w:hAnsi="Times New Roman"/>
                <w:b w:val="0"/>
                <w:sz w:val="18"/>
              </w:rPr>
              <w:t>−0,6</w:t>
            </w:r>
          </w:p>
        </w:tc>
        <w:tc>
          <w:tcPr>
            <w:tcW w:type="dxa" w:w="1263"/>
          </w:tcPr>
          <w:p>
            <w:pPr>
              <w:spacing w:line="240" w:lineRule="auto"/>
            </w:pPr>
            <w:r/>
            <w:r>
              <w:rPr>
                <w:rFonts w:ascii="Times New Roman" w:hAnsi="Times New Roman"/>
                <w:b w:val="0"/>
                <w:sz w:val="18"/>
              </w:rPr>
              <w:t>94%</w:t>
            </w:r>
          </w:p>
        </w:tc>
      </w:tr>
      <w:tr>
        <w:tc>
          <w:tcPr>
            <w:tcW w:type="dxa" w:w="1263"/>
          </w:tcPr>
          <w:p>
            <w:pPr>
              <w:spacing w:line="240" w:lineRule="auto"/>
            </w:pPr>
            <w:r/>
            <w:r>
              <w:rPr>
                <w:rFonts w:ascii="Times New Roman" w:hAnsi="Times New Roman"/>
                <w:b w:val="0"/>
                <w:sz w:val="18"/>
              </w:rPr>
              <w:t>20 000 Ft/hó (alapeset)</w:t>
            </w:r>
          </w:p>
        </w:tc>
        <w:tc>
          <w:tcPr>
            <w:tcW w:type="dxa" w:w="1263"/>
          </w:tcPr>
          <w:p>
            <w:pPr>
              <w:spacing w:line="240" w:lineRule="auto"/>
            </w:pPr>
            <w:r/>
            <w:r>
              <w:rPr>
                <w:rFonts w:ascii="Times New Roman" w:hAnsi="Times New Roman"/>
                <w:b w:val="0"/>
                <w:sz w:val="18"/>
              </w:rPr>
              <w:t>5,3</w:t>
            </w:r>
          </w:p>
        </w:tc>
        <w:tc>
          <w:tcPr>
            <w:tcW w:type="dxa" w:w="1263"/>
          </w:tcPr>
          <w:p>
            <w:pPr>
              <w:spacing w:line="240" w:lineRule="auto"/>
            </w:pPr>
            <w:r/>
            <w:r>
              <w:rPr>
                <w:rFonts w:ascii="Times New Roman" w:hAnsi="Times New Roman"/>
                <w:b w:val="0"/>
                <w:sz w:val="18"/>
              </w:rPr>
              <w:t>17,6</w:t>
            </w:r>
          </w:p>
        </w:tc>
        <w:tc>
          <w:tcPr>
            <w:tcW w:type="dxa" w:w="1263"/>
          </w:tcPr>
          <w:p>
            <w:pPr>
              <w:spacing w:line="240" w:lineRule="auto"/>
            </w:pPr>
            <w:r/>
            <w:r>
              <w:rPr>
                <w:rFonts w:ascii="Times New Roman" w:hAnsi="Times New Roman"/>
                <w:b w:val="0"/>
                <w:sz w:val="18"/>
              </w:rPr>
              <w:t>16,5</w:t>
            </w:r>
          </w:p>
        </w:tc>
        <w:tc>
          <w:tcPr>
            <w:tcW w:type="dxa" w:w="1263"/>
          </w:tcPr>
          <w:p>
            <w:pPr>
              <w:spacing w:line="240" w:lineRule="auto"/>
            </w:pPr>
            <w:r/>
            <w:r>
              <w:rPr>
                <w:rFonts w:ascii="Times New Roman" w:hAnsi="Times New Roman"/>
                <w:b/>
                <w:sz w:val="18"/>
              </w:rPr>
              <w:t>−1,0 (megtakarítás)</w:t>
            </w:r>
          </w:p>
        </w:tc>
        <w:tc>
          <w:tcPr>
            <w:tcW w:type="dxa" w:w="1263"/>
          </w:tcPr>
          <w:p>
            <w:pPr>
              <w:spacing w:line="240" w:lineRule="auto"/>
            </w:pPr>
            <w:r/>
            <w:r>
              <w:rPr>
                <w:rFonts w:ascii="Times New Roman" w:hAnsi="Times New Roman"/>
                <w:b w:val="0"/>
                <w:sz w:val="18"/>
              </w:rPr>
              <w:t>+1,0</w:t>
            </w:r>
          </w:p>
        </w:tc>
        <w:tc>
          <w:tcPr>
            <w:tcW w:type="dxa" w:w="1263"/>
          </w:tcPr>
          <w:p>
            <w:pPr>
              <w:spacing w:line="240" w:lineRule="auto"/>
            </w:pPr>
            <w:r/>
            <w:r>
              <w:rPr>
                <w:rFonts w:ascii="Times New Roman" w:hAnsi="Times New Roman"/>
                <w:b w:val="0"/>
                <w:sz w:val="18"/>
              </w:rPr>
              <w:t>70%</w:t>
            </w:r>
          </w:p>
        </w:tc>
      </w:tr>
      <w:tr>
        <w:tc>
          <w:tcPr>
            <w:tcW w:type="dxa" w:w="1263"/>
          </w:tcPr>
          <w:p>
            <w:pPr>
              <w:spacing w:line="240" w:lineRule="auto"/>
            </w:pPr>
            <w:r/>
            <w:r>
              <w:rPr>
                <w:rFonts w:ascii="Times New Roman" w:hAnsi="Times New Roman"/>
                <w:b w:val="0"/>
                <w:sz w:val="18"/>
              </w:rPr>
              <w:t>25 000 Ft/hó</w:t>
            </w:r>
          </w:p>
        </w:tc>
        <w:tc>
          <w:tcPr>
            <w:tcW w:type="dxa" w:w="1263"/>
          </w:tcPr>
          <w:p>
            <w:pPr>
              <w:spacing w:line="240" w:lineRule="auto"/>
            </w:pPr>
            <w:r/>
            <w:r>
              <w:rPr>
                <w:rFonts w:ascii="Times New Roman" w:hAnsi="Times New Roman"/>
                <w:b w:val="0"/>
                <w:sz w:val="18"/>
              </w:rPr>
              <w:t>5,3</w:t>
            </w:r>
          </w:p>
        </w:tc>
        <w:tc>
          <w:tcPr>
            <w:tcW w:type="dxa" w:w="1263"/>
          </w:tcPr>
          <w:p>
            <w:pPr>
              <w:spacing w:line="240" w:lineRule="auto"/>
            </w:pPr>
            <w:r/>
            <w:r>
              <w:rPr>
                <w:rFonts w:ascii="Times New Roman" w:hAnsi="Times New Roman"/>
                <w:b w:val="0"/>
                <w:sz w:val="18"/>
              </w:rPr>
              <w:t>17,6</w:t>
            </w:r>
          </w:p>
        </w:tc>
        <w:tc>
          <w:tcPr>
            <w:tcW w:type="dxa" w:w="1263"/>
          </w:tcPr>
          <w:p>
            <w:pPr>
              <w:spacing w:line="240" w:lineRule="auto"/>
            </w:pPr>
            <w:r/>
            <w:r>
              <w:rPr>
                <w:rFonts w:ascii="Times New Roman" w:hAnsi="Times New Roman"/>
                <w:b w:val="0"/>
                <w:sz w:val="18"/>
              </w:rPr>
              <w:t>18,2</w:t>
            </w:r>
          </w:p>
        </w:tc>
        <w:tc>
          <w:tcPr>
            <w:tcW w:type="dxa" w:w="1263"/>
          </w:tcPr>
          <w:p>
            <w:pPr>
              <w:spacing w:line="240" w:lineRule="auto"/>
            </w:pPr>
            <w:r/>
            <w:r>
              <w:rPr>
                <w:rFonts w:ascii="Times New Roman" w:hAnsi="Times New Roman"/>
                <w:b/>
                <w:sz w:val="18"/>
              </w:rPr>
              <w:t>+0,6 (többletköltség)</w:t>
            </w:r>
          </w:p>
        </w:tc>
        <w:tc>
          <w:tcPr>
            <w:tcW w:type="dxa" w:w="1263"/>
          </w:tcPr>
          <w:p>
            <w:pPr>
              <w:spacing w:line="240" w:lineRule="auto"/>
            </w:pPr>
            <w:r/>
            <w:r>
              <w:rPr>
                <w:rFonts w:ascii="Times New Roman" w:hAnsi="Times New Roman"/>
                <w:b w:val="0"/>
                <w:sz w:val="18"/>
              </w:rPr>
              <w:t>+2,6</w:t>
            </w:r>
          </w:p>
        </w:tc>
        <w:tc>
          <w:tcPr>
            <w:tcW w:type="dxa" w:w="1263"/>
          </w:tcPr>
          <w:p>
            <w:pPr>
              <w:spacing w:line="240" w:lineRule="auto"/>
            </w:pPr>
            <w:r/>
            <w:r>
              <w:rPr>
                <w:rFonts w:ascii="Times New Roman" w:hAnsi="Times New Roman"/>
                <w:b w:val="0"/>
                <w:sz w:val="18"/>
              </w:rPr>
              <w:t>38%</w:t>
            </w:r>
          </w:p>
        </w:tc>
      </w:tr>
      <w:tr>
        <w:tc>
          <w:tcPr>
            <w:tcW w:type="dxa" w:w="1263"/>
          </w:tcPr>
          <w:p>
            <w:pPr>
              <w:spacing w:line="240" w:lineRule="auto"/>
            </w:pPr>
            <w:r/>
            <w:r>
              <w:rPr>
                <w:rFonts w:ascii="Times New Roman" w:hAnsi="Times New Roman"/>
                <w:b w:val="0"/>
                <w:sz w:val="18"/>
              </w:rPr>
              <w:t>35 000 Ft/hó</w:t>
            </w:r>
          </w:p>
        </w:tc>
        <w:tc>
          <w:tcPr>
            <w:tcW w:type="dxa" w:w="1263"/>
          </w:tcPr>
          <w:p>
            <w:pPr>
              <w:spacing w:line="240" w:lineRule="auto"/>
            </w:pPr>
            <w:r/>
            <w:r>
              <w:rPr>
                <w:rFonts w:ascii="Times New Roman" w:hAnsi="Times New Roman"/>
                <w:b w:val="0"/>
                <w:sz w:val="18"/>
              </w:rPr>
              <w:t>5,3</w:t>
            </w:r>
          </w:p>
        </w:tc>
        <w:tc>
          <w:tcPr>
            <w:tcW w:type="dxa" w:w="1263"/>
          </w:tcPr>
          <w:p>
            <w:pPr>
              <w:spacing w:line="240" w:lineRule="auto"/>
            </w:pPr>
            <w:r/>
            <w:r>
              <w:rPr>
                <w:rFonts w:ascii="Times New Roman" w:hAnsi="Times New Roman"/>
                <w:b w:val="0"/>
                <w:sz w:val="18"/>
              </w:rPr>
              <w:t>17,6</w:t>
            </w:r>
          </w:p>
        </w:tc>
        <w:tc>
          <w:tcPr>
            <w:tcW w:type="dxa" w:w="1263"/>
          </w:tcPr>
          <w:p>
            <w:pPr>
              <w:spacing w:line="240" w:lineRule="auto"/>
            </w:pPr>
            <w:r/>
            <w:r>
              <w:rPr>
                <w:rFonts w:ascii="Times New Roman" w:hAnsi="Times New Roman"/>
                <w:b w:val="0"/>
                <w:sz w:val="18"/>
              </w:rPr>
              <w:t>21,4</w:t>
            </w:r>
          </w:p>
        </w:tc>
        <w:tc>
          <w:tcPr>
            <w:tcW w:type="dxa" w:w="1263"/>
          </w:tcPr>
          <w:p>
            <w:pPr>
              <w:spacing w:line="240" w:lineRule="auto"/>
            </w:pPr>
            <w:r/>
            <w:r>
              <w:rPr>
                <w:rFonts w:ascii="Times New Roman" w:hAnsi="Times New Roman"/>
                <w:b/>
                <w:sz w:val="18"/>
              </w:rPr>
              <w:t>+3,8 (többletköltség)</w:t>
            </w:r>
          </w:p>
        </w:tc>
        <w:tc>
          <w:tcPr>
            <w:tcW w:type="dxa" w:w="1263"/>
          </w:tcPr>
          <w:p>
            <w:pPr>
              <w:spacing w:line="240" w:lineRule="auto"/>
            </w:pPr>
            <w:r/>
            <w:r>
              <w:rPr>
                <w:rFonts w:ascii="Times New Roman" w:hAnsi="Times New Roman"/>
                <w:b w:val="0"/>
                <w:sz w:val="18"/>
              </w:rPr>
              <w:t>+5,9</w:t>
            </w:r>
          </w:p>
        </w:tc>
        <w:tc>
          <w:tcPr>
            <w:tcW w:type="dxa" w:w="1263"/>
          </w:tcPr>
          <w:p>
            <w:pPr>
              <w:spacing w:line="240" w:lineRule="auto"/>
            </w:pPr>
            <w:r/>
            <w:r>
              <w:rPr>
                <w:rFonts w:ascii="Times New Roman" w:hAnsi="Times New Roman"/>
                <w:b w:val="0"/>
                <w:sz w:val="18"/>
              </w:rPr>
              <w:t>4%</w:t>
            </w:r>
          </w:p>
        </w:tc>
      </w:tr>
      <w:tr>
        <w:tc>
          <w:tcPr>
            <w:tcW w:type="dxa" w:w="1263"/>
          </w:tcPr>
          <w:p>
            <w:pPr>
              <w:spacing w:line="240" w:lineRule="auto"/>
            </w:pPr>
            <w:r/>
            <w:r>
              <w:rPr>
                <w:rFonts w:ascii="Times New Roman" w:hAnsi="Times New Roman"/>
                <w:b/>
                <w:sz w:val="18"/>
              </w:rPr>
              <w:t>Költségsemleges küszöbár</w:t>
            </w:r>
          </w:p>
        </w:tc>
        <w:tc>
          <w:tcPr>
            <w:tcW w:type="dxa" w:w="1263"/>
          </w:tcPr>
          <w:p>
            <w:pPr>
              <w:spacing w:line="240" w:lineRule="auto"/>
            </w:pPr>
            <w:r/>
            <w:r>
              <w:rPr>
                <w:rFonts w:ascii="Times New Roman" w:hAnsi="Times New Roman"/>
                <w:b w:val="0"/>
                <w:sz w:val="18"/>
              </w:rPr>
              <w:t>–</w:t>
            </w:r>
          </w:p>
        </w:tc>
        <w:tc>
          <w:tcPr>
            <w:tcW w:type="dxa" w:w="1263"/>
          </w:tcPr>
          <w:p>
            <w:pPr>
              <w:spacing w:line="240" w:lineRule="auto"/>
            </w:pPr>
            <w:r/>
            <w:r>
              <w:rPr>
                <w:rFonts w:ascii="Times New Roman" w:hAnsi="Times New Roman"/>
                <w:b w:val="0"/>
                <w:sz w:val="18"/>
              </w:rPr>
              <w:t>–</w:t>
            </w:r>
          </w:p>
        </w:tc>
        <w:tc>
          <w:tcPr>
            <w:tcW w:type="dxa" w:w="1263"/>
          </w:tcPr>
          <w:p>
            <w:pPr>
              <w:spacing w:line="240" w:lineRule="auto"/>
            </w:pPr>
            <w:r/>
            <w:r>
              <w:rPr>
                <w:rFonts w:ascii="Times New Roman" w:hAnsi="Times New Roman"/>
                <w:b w:val="0"/>
                <w:sz w:val="18"/>
              </w:rPr>
              <w:t>–</w:t>
            </w:r>
          </w:p>
        </w:tc>
        <w:tc>
          <w:tcPr>
            <w:tcW w:type="dxa" w:w="1263"/>
          </w:tcPr>
          <w:p>
            <w:pPr>
              <w:spacing w:line="240" w:lineRule="auto"/>
            </w:pPr>
            <w:r/>
            <w:r>
              <w:rPr>
                <w:rFonts w:ascii="Times New Roman" w:hAnsi="Times New Roman"/>
                <w:b/>
                <w:sz w:val="18"/>
              </w:rPr>
              <w:t>≈ 23 000 Ft/hó</w:t>
            </w:r>
          </w:p>
        </w:tc>
        <w:tc>
          <w:tcPr>
            <w:tcW w:type="dxa" w:w="1263"/>
          </w:tcPr>
          <w:p>
            <w:pPr>
              <w:spacing w:line="240" w:lineRule="auto"/>
            </w:pPr>
            <w:r/>
            <w:r>
              <w:rPr>
                <w:rFonts w:ascii="Times New Roman" w:hAnsi="Times New Roman"/>
                <w:b w:val="0"/>
                <w:sz w:val="18"/>
              </w:rPr>
              <w:t>≈ 17 000 Ft/hó</w:t>
            </w:r>
          </w:p>
        </w:tc>
        <w:tc>
          <w:tcPr>
            <w:tcW w:type="dxa" w:w="1263"/>
          </w:tcPr>
          <w:p>
            <w:pPr>
              <w:spacing w:line="240" w:lineRule="auto"/>
            </w:pPr>
            <w:r/>
            <w:r>
              <w:rPr>
                <w:rFonts w:ascii="Times New Roman" w:hAnsi="Times New Roman"/>
                <w:b w:val="0"/>
                <w:sz w:val="18"/>
              </w:rPr>
              <w:t>50%: ≈ 23 200 Ft/hó</w:t>
            </w:r>
          </w:p>
        </w:tc>
      </w:tr>
    </w:tbl>
    <w:p>
      <w:pPr>
        <w:spacing w:after="80"/>
      </w:pPr>
    </w:p>
    <w:p>
      <w:pPr>
        <w:spacing w:line="240" w:lineRule="auto"/>
      </w:pPr>
      <w:r>
        <w:rPr>
          <w:b w:val="0"/>
          <w:i/>
          <w:sz w:val="18"/>
        </w:rPr>
        <w:t>Egyirányú érzékenységi elemzés (nettó mérleg, millió Ft/fő; negatív = megtakarítás):</w:t>
      </w:r>
    </w:p>
    <w:tbl>
      <w:tblPr>
        <w:tblStyle w:val="TableGrid"/>
        <w:tblW w:type="auto" w:w="0"/>
        <w:tblLook w:firstColumn="1" w:firstRow="1" w:lastColumn="0" w:lastRow="0" w:noHBand="0" w:noVBand="1" w:val="04A0"/>
      </w:tblPr>
      <w:tblGrid>
        <w:gridCol w:w="2946"/>
        <w:gridCol w:w="2946"/>
        <w:gridCol w:w="2946"/>
      </w:tblGrid>
      <w:tr>
        <w:tc>
          <w:tcPr>
            <w:tcW w:type="dxa" w:w="2946"/>
          </w:tcPr>
          <w:p>
            <w:pPr>
              <w:spacing w:line="240" w:lineRule="auto"/>
            </w:pPr>
            <w:r/>
            <w:r>
              <w:rPr>
                <w:rFonts w:ascii="Times New Roman" w:hAnsi="Times New Roman"/>
                <w:b/>
                <w:sz w:val="18"/>
              </w:rPr>
              <w:t>Paraméter</w:t>
            </w:r>
          </w:p>
        </w:tc>
        <w:tc>
          <w:tcPr>
            <w:tcW w:type="dxa" w:w="2946"/>
          </w:tcPr>
          <w:p>
            <w:pPr>
              <w:spacing w:line="240" w:lineRule="auto"/>
            </w:pPr>
            <w:r/>
            <w:r>
              <w:rPr>
                <w:rFonts w:ascii="Times New Roman" w:hAnsi="Times New Roman"/>
                <w:b/>
                <w:sz w:val="18"/>
              </w:rPr>
              <w:t>Tartomány</w:t>
            </w:r>
          </w:p>
        </w:tc>
        <w:tc>
          <w:tcPr>
            <w:tcW w:type="dxa" w:w="2946"/>
          </w:tcPr>
          <w:p>
            <w:pPr>
              <w:spacing w:line="240" w:lineRule="auto"/>
            </w:pPr>
            <w:r/>
            <w:r>
              <w:rPr>
                <w:rFonts w:ascii="Times New Roman" w:hAnsi="Times New Roman"/>
                <w:b/>
                <w:sz w:val="18"/>
              </w:rPr>
              <w:t>Nettó mérleg</w:t>
            </w:r>
          </w:p>
        </w:tc>
      </w:tr>
      <w:tr>
        <w:tc>
          <w:tcPr>
            <w:tcW w:type="dxa" w:w="2946"/>
          </w:tcPr>
          <w:p>
            <w:pPr>
              <w:spacing w:line="240" w:lineRule="auto"/>
            </w:pPr>
            <w:r/>
            <w:r>
              <w:rPr>
                <w:rFonts w:ascii="Times New Roman" w:hAnsi="Times New Roman"/>
                <w:b w:val="0"/>
                <w:sz w:val="18"/>
              </w:rPr>
              <w:t>Havi gyógyszerár</w:t>
            </w:r>
          </w:p>
        </w:tc>
        <w:tc>
          <w:tcPr>
            <w:tcW w:type="dxa" w:w="2946"/>
          </w:tcPr>
          <w:p>
            <w:pPr>
              <w:spacing w:line="240" w:lineRule="auto"/>
            </w:pPr>
            <w:r/>
            <w:r>
              <w:rPr>
                <w:rFonts w:ascii="Times New Roman" w:hAnsi="Times New Roman"/>
                <w:b w:val="0"/>
                <w:sz w:val="18"/>
              </w:rPr>
              <w:t>5 000–35 000 Ft</w:t>
            </w:r>
          </w:p>
        </w:tc>
        <w:tc>
          <w:tcPr>
            <w:tcW w:type="dxa" w:w="2946"/>
          </w:tcPr>
          <w:p>
            <w:pPr>
              <w:spacing w:line="240" w:lineRule="auto"/>
            </w:pPr>
            <w:r/>
            <w:r>
              <w:rPr>
                <w:rFonts w:ascii="Times New Roman" w:hAnsi="Times New Roman"/>
                <w:b w:val="0"/>
                <w:sz w:val="18"/>
              </w:rPr>
              <w:t>−5,9 … +3,8</w:t>
            </w:r>
          </w:p>
        </w:tc>
      </w:tr>
      <w:tr>
        <w:tc>
          <w:tcPr>
            <w:tcW w:type="dxa" w:w="2946"/>
          </w:tcPr>
          <w:p>
            <w:pPr>
              <w:spacing w:line="240" w:lineRule="auto"/>
            </w:pPr>
            <w:r/>
            <w:r>
              <w:rPr>
                <w:rFonts w:ascii="Times New Roman" w:hAnsi="Times New Roman"/>
                <w:b w:val="0"/>
                <w:sz w:val="18"/>
              </w:rPr>
              <w:t>Testsúlymediált hatás</w:t>
            </w:r>
          </w:p>
        </w:tc>
        <w:tc>
          <w:tcPr>
            <w:tcW w:type="dxa" w:w="2946"/>
          </w:tcPr>
          <w:p>
            <w:pPr>
              <w:spacing w:line="240" w:lineRule="auto"/>
            </w:pPr>
            <w:r/>
            <w:r>
              <w:rPr>
                <w:rFonts w:ascii="Times New Roman" w:hAnsi="Times New Roman"/>
                <w:b w:val="0"/>
                <w:sz w:val="18"/>
              </w:rPr>
              <w:t>40–80%</w:t>
            </w:r>
          </w:p>
        </w:tc>
        <w:tc>
          <w:tcPr>
            <w:tcW w:type="dxa" w:w="2946"/>
          </w:tcPr>
          <w:p>
            <w:pPr>
              <w:spacing w:line="240" w:lineRule="auto"/>
            </w:pPr>
            <w:r/>
            <w:r>
              <w:rPr>
                <w:rFonts w:ascii="Times New Roman" w:hAnsi="Times New Roman"/>
                <w:b w:val="0"/>
                <w:sz w:val="18"/>
              </w:rPr>
              <w:t>−3,4 … +1,3</w:t>
            </w:r>
          </w:p>
        </w:tc>
      </w:tr>
      <w:tr>
        <w:tc>
          <w:tcPr>
            <w:tcW w:type="dxa" w:w="2946"/>
          </w:tcPr>
          <w:p>
            <w:pPr>
              <w:spacing w:line="240" w:lineRule="auto"/>
            </w:pPr>
            <w:r/>
            <w:r>
              <w:rPr>
                <w:rFonts w:ascii="Times New Roman" w:hAnsi="Times New Roman"/>
                <w:b w:val="0"/>
                <w:sz w:val="18"/>
              </w:rPr>
              <w:t>Fogyásfüggetlen hatás</w:t>
            </w:r>
          </w:p>
        </w:tc>
        <w:tc>
          <w:tcPr>
            <w:tcW w:type="dxa" w:w="2946"/>
          </w:tcPr>
          <w:p>
            <w:pPr>
              <w:spacing w:line="240" w:lineRule="auto"/>
            </w:pPr>
            <w:r/>
            <w:r>
              <w:rPr>
                <w:rFonts w:ascii="Times New Roman" w:hAnsi="Times New Roman"/>
                <w:b w:val="0"/>
                <w:sz w:val="18"/>
              </w:rPr>
              <w:t>0–30%</w:t>
            </w:r>
          </w:p>
        </w:tc>
        <w:tc>
          <w:tcPr>
            <w:tcW w:type="dxa" w:w="2946"/>
          </w:tcPr>
          <w:p>
            <w:pPr>
              <w:spacing w:line="240" w:lineRule="auto"/>
            </w:pPr>
            <w:r/>
            <w:r>
              <w:rPr>
                <w:rFonts w:ascii="Times New Roman" w:hAnsi="Times New Roman"/>
                <w:b w:val="0"/>
                <w:sz w:val="18"/>
              </w:rPr>
              <w:t>−1,2 … −0,9</w:t>
            </w:r>
          </w:p>
        </w:tc>
      </w:tr>
      <w:tr>
        <w:tc>
          <w:tcPr>
            <w:tcW w:type="dxa" w:w="2946"/>
          </w:tcPr>
          <w:p>
            <w:pPr>
              <w:spacing w:line="240" w:lineRule="auto"/>
            </w:pPr>
            <w:r/>
            <w:r>
              <w:rPr>
                <w:rFonts w:ascii="Times New Roman" w:hAnsi="Times New Roman"/>
                <w:b w:val="0"/>
                <w:sz w:val="18"/>
              </w:rPr>
              <w:t>Adherencia</w:t>
            </w:r>
          </w:p>
        </w:tc>
        <w:tc>
          <w:tcPr>
            <w:tcW w:type="dxa" w:w="2946"/>
          </w:tcPr>
          <w:p>
            <w:pPr>
              <w:spacing w:line="240" w:lineRule="auto"/>
            </w:pPr>
            <w:r/>
            <w:r>
              <w:rPr>
                <w:rFonts w:ascii="Times New Roman" w:hAnsi="Times New Roman"/>
                <w:b w:val="0"/>
                <w:sz w:val="18"/>
              </w:rPr>
              <w:t>50–100%</w:t>
            </w:r>
          </w:p>
        </w:tc>
        <w:tc>
          <w:tcPr>
            <w:tcW w:type="dxa" w:w="2946"/>
          </w:tcPr>
          <w:p>
            <w:pPr>
              <w:spacing w:line="240" w:lineRule="auto"/>
            </w:pPr>
            <w:r/>
            <w:r>
              <w:rPr>
                <w:rFonts w:ascii="Times New Roman" w:hAnsi="Times New Roman"/>
                <w:b w:val="0"/>
                <w:sz w:val="18"/>
              </w:rPr>
              <w:t>−0,6 … −1,0</w:t>
            </w:r>
          </w:p>
        </w:tc>
      </w:tr>
      <w:tr>
        <w:tc>
          <w:tcPr>
            <w:tcW w:type="dxa" w:w="2946"/>
          </w:tcPr>
          <w:p>
            <w:pPr>
              <w:spacing w:line="240" w:lineRule="auto"/>
            </w:pPr>
            <w:r/>
            <w:r>
              <w:rPr>
                <w:rFonts w:ascii="Times New Roman" w:hAnsi="Times New Roman"/>
                <w:b w:val="0"/>
                <w:sz w:val="18"/>
              </w:rPr>
              <w:t>Indirekt költségek</w:t>
            </w:r>
          </w:p>
        </w:tc>
        <w:tc>
          <w:tcPr>
            <w:tcW w:type="dxa" w:w="2946"/>
          </w:tcPr>
          <w:p>
            <w:pPr>
              <w:spacing w:line="240" w:lineRule="auto"/>
            </w:pPr>
            <w:r/>
            <w:r>
              <w:rPr>
                <w:rFonts w:ascii="Times New Roman" w:hAnsi="Times New Roman"/>
                <w:b w:val="0"/>
                <w:sz w:val="18"/>
              </w:rPr>
              <w:t>beszámítva / kihagyva</w:t>
            </w:r>
          </w:p>
        </w:tc>
        <w:tc>
          <w:tcPr>
            <w:tcW w:type="dxa" w:w="2946"/>
          </w:tcPr>
          <w:p>
            <w:pPr>
              <w:spacing w:line="240" w:lineRule="auto"/>
            </w:pPr>
            <w:r/>
            <w:r>
              <w:rPr>
                <w:rFonts w:ascii="Times New Roman" w:hAnsi="Times New Roman"/>
                <w:b w:val="0"/>
                <w:sz w:val="18"/>
              </w:rPr>
              <w:t>−1,0 … +1,0</w:t>
            </w:r>
          </w:p>
        </w:tc>
      </w:tr>
      <w:tr>
        <w:tc>
          <w:tcPr>
            <w:tcW w:type="dxa" w:w="2946"/>
          </w:tcPr>
          <w:p>
            <w:pPr>
              <w:spacing w:line="240" w:lineRule="auto"/>
            </w:pPr>
            <w:r/>
            <w:r>
              <w:rPr>
                <w:rFonts w:ascii="Times New Roman" w:hAnsi="Times New Roman"/>
                <w:b w:val="0"/>
                <w:sz w:val="18"/>
              </w:rPr>
              <w:t>Diszkontráta</w:t>
            </w:r>
          </w:p>
        </w:tc>
        <w:tc>
          <w:tcPr>
            <w:tcW w:type="dxa" w:w="2946"/>
          </w:tcPr>
          <w:p>
            <w:pPr>
              <w:spacing w:line="240" w:lineRule="auto"/>
            </w:pPr>
            <w:r/>
            <w:r>
              <w:rPr>
                <w:rFonts w:ascii="Times New Roman" w:hAnsi="Times New Roman"/>
                <w:b w:val="0"/>
                <w:sz w:val="18"/>
              </w:rPr>
              <w:t>0–5%</w:t>
            </w:r>
          </w:p>
        </w:tc>
        <w:tc>
          <w:tcPr>
            <w:tcW w:type="dxa" w:w="2946"/>
          </w:tcPr>
          <w:p>
            <w:pPr>
              <w:spacing w:line="240" w:lineRule="auto"/>
            </w:pPr>
            <w:r/>
            <w:r>
              <w:rPr>
                <w:rFonts w:ascii="Times New Roman" w:hAnsi="Times New Roman"/>
                <w:b w:val="0"/>
                <w:sz w:val="18"/>
              </w:rPr>
              <w:t>−7,1 … +0,3</w:t>
            </w:r>
          </w:p>
        </w:tc>
      </w:tr>
    </w:tbl>
    <w:p>
      <w:pPr>
        <w:spacing w:after="80"/>
      </w:pPr>
    </w:p>
    <w:p>
      <w:pPr>
        <w:spacing w:line="240" w:lineRule="auto"/>
      </w:pPr>
      <w:r>
        <w:rPr>
          <w:b w:val="0"/>
          <w:i/>
          <w:sz w:val="18"/>
        </w:rPr>
        <w:t>Modell-feltételezések: belépés 14 éves korban, követés 65 éves korig, 3%-os éves diszkontálás, 2025-ös magyar árszinten, társadalmi perspektíva. Költségtételek: (1) közvetlen ellátás; (2) munkahelyi távollétek – az obesitasra visszavezethető többlet-betegnapok 30 000 Ft/munkanap társadalmi értéken, 18 éves kortól; (3) reprodukciós veszteség – anovulációs infertilitás miatti többlet asszisztált reprodukciós ciklusok (1,5 millió Ft/ciklus, 1,8 ciklus, a nők 21%-ánál) és gestatiós diabetesszel szövődött terhességek (0,6 millió Ft, 18%) a 25–40 éves sávban. Az alapesetben a tartós kezelés a testsúlymediált többletkockázat 60%-át hárítja el, ehhez járul a kardiometabolikus hányadra ható, fogyástól független további 15%-os csökkenés [31, 32, 27], 100%-os adherencia mellett. A valószínűségi érzékenységi elemzés 4000 Monte Carlo-futtatás, csonkított normális eloszlású paraméterhúzásokkal (testsúlymediált hatás 0,60 ± 0,10; fogyásfüggetlen hatás 0,15 ± 0,08; adherencia 0,75 ± 0,15; költségszorzók 1,00 ± 0,25 direkt, ± 0,35 indirekt). Referenciaérték: a gyermekkori túlsúly és elhízás évi 237,55 USD/fő többlet-egészségügyi kiadást okoz [39]; a serdülőkori szemaglutid inkrementális költséghatékonysági hányadosa amerikai listaáron 1 079 480 USD/QALY [40]. QALY-alapú értékelést nem végeztünk, és a modell a szerkezeti bizonytalanságot nem kezeli; a táblázat szemléltető modelleredmény, finanszírozási döntés megalapozására önmagában nem alkalmas.</w:t>
      </w:r>
    </w:p>
    <w:p>
      <w:r>
        <w:br w:type="page"/>
      </w:r>
    </w:p>
    <w:p>
      <w:pPr>
        <w:spacing w:before="0" w:after="120"/>
      </w:pPr>
      <w:r>
        <w:rPr>
          <w:b/>
          <w:sz w:val="24"/>
        </w:rPr>
        <w:t>4. táblázat. A serdülőkori inkretin-kezelés gondozási és mérési minimuma gyermeknőgyógyászati szemszögből</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pPr>
              <w:spacing w:line="240" w:lineRule="auto"/>
            </w:pPr>
            <w:r/>
            <w:r>
              <w:rPr>
                <w:rFonts w:ascii="Times New Roman" w:hAnsi="Times New Roman"/>
                <w:b/>
                <w:sz w:val="18"/>
              </w:rPr>
              <w:t>Domén</w:t>
            </w:r>
          </w:p>
        </w:tc>
        <w:tc>
          <w:tcPr>
            <w:tcW w:type="dxa" w:w="1768"/>
          </w:tcPr>
          <w:p>
            <w:pPr>
              <w:spacing w:line="240" w:lineRule="auto"/>
            </w:pPr>
            <w:r/>
            <w:r>
              <w:rPr>
                <w:rFonts w:ascii="Times New Roman" w:hAnsi="Times New Roman"/>
                <w:b/>
                <w:sz w:val="18"/>
              </w:rPr>
              <w:t>Mit kell mérni</w:t>
            </w:r>
          </w:p>
        </w:tc>
        <w:tc>
          <w:tcPr>
            <w:tcW w:type="dxa" w:w="1768"/>
          </w:tcPr>
          <w:p>
            <w:pPr>
              <w:spacing w:line="240" w:lineRule="auto"/>
            </w:pPr>
            <w:r/>
            <w:r>
              <w:rPr>
                <w:rFonts w:ascii="Times New Roman" w:hAnsi="Times New Roman"/>
                <w:b/>
                <w:sz w:val="18"/>
              </w:rPr>
              <w:t>Mivel</w:t>
            </w:r>
          </w:p>
        </w:tc>
        <w:tc>
          <w:tcPr>
            <w:tcW w:type="dxa" w:w="1768"/>
          </w:tcPr>
          <w:p>
            <w:pPr>
              <w:spacing w:line="240" w:lineRule="auto"/>
            </w:pPr>
            <w:r/>
            <w:r>
              <w:rPr>
                <w:rFonts w:ascii="Times New Roman" w:hAnsi="Times New Roman"/>
                <w:b/>
                <w:sz w:val="18"/>
              </w:rPr>
              <w:t>Mikor</w:t>
            </w:r>
          </w:p>
        </w:tc>
        <w:tc>
          <w:tcPr>
            <w:tcW w:type="dxa" w:w="1768"/>
          </w:tcPr>
          <w:p>
            <w:pPr>
              <w:spacing w:line="240" w:lineRule="auto"/>
            </w:pPr>
            <w:r/>
            <w:r>
              <w:rPr>
                <w:rFonts w:ascii="Times New Roman" w:hAnsi="Times New Roman"/>
                <w:b/>
                <w:sz w:val="18"/>
              </w:rPr>
              <w:t>Miért – a gyermeknőgyógyászati tét</w:t>
            </w:r>
          </w:p>
        </w:tc>
      </w:tr>
      <w:tr>
        <w:tc>
          <w:tcPr>
            <w:tcW w:type="dxa" w:w="1768"/>
          </w:tcPr>
          <w:p>
            <w:pPr>
              <w:spacing w:line="240" w:lineRule="auto"/>
            </w:pPr>
            <w:r/>
            <w:r>
              <w:rPr>
                <w:rFonts w:ascii="Times New Roman" w:hAnsi="Times New Roman"/>
                <w:b w:val="0"/>
                <w:sz w:val="18"/>
              </w:rPr>
              <w:t>Növekedés</w:t>
            </w:r>
          </w:p>
        </w:tc>
        <w:tc>
          <w:tcPr>
            <w:tcW w:type="dxa" w:w="1768"/>
          </w:tcPr>
          <w:p>
            <w:pPr>
              <w:spacing w:line="240" w:lineRule="auto"/>
            </w:pPr>
            <w:r/>
            <w:r>
              <w:rPr>
                <w:rFonts w:ascii="Times New Roman" w:hAnsi="Times New Roman"/>
                <w:b w:val="0"/>
                <w:sz w:val="18"/>
              </w:rPr>
              <w:t>testmagasság és növekedési sebesség (cm/év), magasság-SDS</w:t>
            </w:r>
          </w:p>
        </w:tc>
        <w:tc>
          <w:tcPr>
            <w:tcW w:type="dxa" w:w="1768"/>
          </w:tcPr>
          <w:p>
            <w:pPr>
              <w:spacing w:line="240" w:lineRule="auto"/>
            </w:pPr>
            <w:r/>
            <w:r>
              <w:rPr>
                <w:rFonts w:ascii="Times New Roman" w:hAnsi="Times New Roman"/>
                <w:b w:val="0"/>
                <w:sz w:val="18"/>
              </w:rPr>
              <w:t>standardizált stadiométer</w:t>
            </w:r>
          </w:p>
        </w:tc>
        <w:tc>
          <w:tcPr>
            <w:tcW w:type="dxa" w:w="1768"/>
          </w:tcPr>
          <w:p>
            <w:pPr>
              <w:spacing w:line="240" w:lineRule="auto"/>
            </w:pPr>
            <w:r/>
            <w:r>
              <w:rPr>
                <w:rFonts w:ascii="Times New Roman" w:hAnsi="Times New Roman"/>
                <w:b w:val="0"/>
                <w:sz w:val="18"/>
              </w:rPr>
              <w:t>indításkor, majd félévente</w:t>
            </w:r>
          </w:p>
        </w:tc>
        <w:tc>
          <w:tcPr>
            <w:tcW w:type="dxa" w:w="1768"/>
          </w:tcPr>
          <w:p>
            <w:pPr>
              <w:spacing w:line="240" w:lineRule="auto"/>
            </w:pPr>
            <w:r/>
            <w:r>
              <w:rPr>
                <w:rFonts w:ascii="Times New Roman" w:hAnsi="Times New Roman"/>
                <w:b w:val="0"/>
                <w:sz w:val="18"/>
              </w:rPr>
              <w:t>a kezelés a növekedési fázisba nyúlik; a BMI-SDS csökkenése magasságnövekedésből is származhat</w:t>
            </w:r>
          </w:p>
        </w:tc>
      </w:tr>
      <w:tr>
        <w:tc>
          <w:tcPr>
            <w:tcW w:type="dxa" w:w="1768"/>
          </w:tcPr>
          <w:p>
            <w:pPr>
              <w:spacing w:line="240" w:lineRule="auto"/>
            </w:pPr>
            <w:r/>
            <w:r>
              <w:rPr>
                <w:rFonts w:ascii="Times New Roman" w:hAnsi="Times New Roman"/>
                <w:b w:val="0"/>
                <w:sz w:val="18"/>
              </w:rPr>
              <w:t>Csontérés</w:t>
            </w:r>
          </w:p>
        </w:tc>
        <w:tc>
          <w:tcPr>
            <w:tcW w:type="dxa" w:w="1768"/>
          </w:tcPr>
          <w:p>
            <w:pPr>
              <w:spacing w:line="240" w:lineRule="auto"/>
            </w:pPr>
            <w:r/>
            <w:r>
              <w:rPr>
                <w:rFonts w:ascii="Times New Roman" w:hAnsi="Times New Roman"/>
                <w:b w:val="0"/>
                <w:sz w:val="18"/>
              </w:rPr>
              <w:t>csontkor, predikált végleges testmagasság</w:t>
            </w:r>
          </w:p>
        </w:tc>
        <w:tc>
          <w:tcPr>
            <w:tcW w:type="dxa" w:w="1768"/>
          </w:tcPr>
          <w:p>
            <w:pPr>
              <w:spacing w:line="240" w:lineRule="auto"/>
            </w:pPr>
            <w:r/>
            <w:r>
              <w:rPr>
                <w:rFonts w:ascii="Times New Roman" w:hAnsi="Times New Roman"/>
                <w:b w:val="0"/>
                <w:sz w:val="18"/>
              </w:rPr>
              <w:t>Greulich–Pyle vagy TW3</w:t>
            </w:r>
          </w:p>
        </w:tc>
        <w:tc>
          <w:tcPr>
            <w:tcW w:type="dxa" w:w="1768"/>
          </w:tcPr>
          <w:p>
            <w:pPr>
              <w:spacing w:line="240" w:lineRule="auto"/>
            </w:pPr>
            <w:r/>
            <w:r>
              <w:rPr>
                <w:rFonts w:ascii="Times New Roman" w:hAnsi="Times New Roman"/>
                <w:b w:val="0"/>
                <w:sz w:val="18"/>
              </w:rPr>
              <w:t>indításkor, majd 12 havonta</w:t>
            </w:r>
          </w:p>
        </w:tc>
        <w:tc>
          <w:tcPr>
            <w:tcW w:type="dxa" w:w="1768"/>
          </w:tcPr>
          <w:p>
            <w:pPr>
              <w:spacing w:line="240" w:lineRule="auto"/>
            </w:pPr>
            <w:r/>
            <w:r>
              <w:rPr>
                <w:rFonts w:ascii="Times New Roman" w:hAnsi="Times New Roman"/>
                <w:b w:val="0"/>
                <w:sz w:val="18"/>
              </w:rPr>
              <w:t>8–14 éves sávban az érés időzítése a fő tét</w:t>
            </w:r>
          </w:p>
        </w:tc>
      </w:tr>
      <w:tr>
        <w:tc>
          <w:tcPr>
            <w:tcW w:type="dxa" w:w="1768"/>
          </w:tcPr>
          <w:p>
            <w:pPr>
              <w:spacing w:line="240" w:lineRule="auto"/>
            </w:pPr>
            <w:r/>
            <w:r>
              <w:rPr>
                <w:rFonts w:ascii="Times New Roman" w:hAnsi="Times New Roman"/>
                <w:b w:val="0"/>
                <w:sz w:val="18"/>
              </w:rPr>
              <w:t>Pubertás</w:t>
            </w:r>
          </w:p>
        </w:tc>
        <w:tc>
          <w:tcPr>
            <w:tcW w:type="dxa" w:w="1768"/>
          </w:tcPr>
          <w:p>
            <w:pPr>
              <w:spacing w:line="240" w:lineRule="auto"/>
            </w:pPr>
            <w:r/>
            <w:r>
              <w:rPr>
                <w:rFonts w:ascii="Times New Roman" w:hAnsi="Times New Roman"/>
                <w:b w:val="0"/>
                <w:sz w:val="18"/>
              </w:rPr>
              <w:t>Tanner-stádium, ciklusnapló</w:t>
            </w:r>
          </w:p>
        </w:tc>
        <w:tc>
          <w:tcPr>
            <w:tcW w:type="dxa" w:w="1768"/>
          </w:tcPr>
          <w:p>
            <w:pPr>
              <w:spacing w:line="240" w:lineRule="auto"/>
            </w:pPr>
            <w:r/>
            <w:r>
              <w:rPr>
                <w:rFonts w:ascii="Times New Roman" w:hAnsi="Times New Roman"/>
                <w:b w:val="0"/>
                <w:sz w:val="18"/>
              </w:rPr>
              <w:t>fizikális vizsgálat</w:t>
            </w:r>
          </w:p>
        </w:tc>
        <w:tc>
          <w:tcPr>
            <w:tcW w:type="dxa" w:w="1768"/>
          </w:tcPr>
          <w:p>
            <w:pPr>
              <w:spacing w:line="240" w:lineRule="auto"/>
            </w:pPr>
            <w:r/>
            <w:r>
              <w:rPr>
                <w:rFonts w:ascii="Times New Roman" w:hAnsi="Times New Roman"/>
                <w:b w:val="0"/>
                <w:sz w:val="18"/>
              </w:rPr>
              <w:t>az első évben 3 havonta, utána félévente</w:t>
            </w:r>
          </w:p>
        </w:tc>
        <w:tc>
          <w:tcPr>
            <w:tcW w:type="dxa" w:w="1768"/>
          </w:tcPr>
          <w:p>
            <w:pPr>
              <w:spacing w:line="240" w:lineRule="auto"/>
            </w:pPr>
            <w:r/>
            <w:r>
              <w:rPr>
                <w:rFonts w:ascii="Times New Roman" w:hAnsi="Times New Roman"/>
                <w:b w:val="0"/>
                <w:sz w:val="18"/>
              </w:rPr>
              <w:t>a leptinmediált hatás a pubertást késleltetheti, a direkt hatás elvben gyorsíthatja</w:t>
            </w:r>
          </w:p>
        </w:tc>
      </w:tr>
      <w:tr>
        <w:tc>
          <w:tcPr>
            <w:tcW w:type="dxa" w:w="1768"/>
          </w:tcPr>
          <w:p>
            <w:pPr>
              <w:spacing w:line="240" w:lineRule="auto"/>
            </w:pPr>
            <w:r/>
            <w:r>
              <w:rPr>
                <w:rFonts w:ascii="Times New Roman" w:hAnsi="Times New Roman"/>
                <w:b w:val="0"/>
                <w:sz w:val="18"/>
              </w:rPr>
              <w:t>Gonadális tengely</w:t>
            </w:r>
          </w:p>
        </w:tc>
        <w:tc>
          <w:tcPr>
            <w:tcW w:type="dxa" w:w="1768"/>
          </w:tcPr>
          <w:p>
            <w:pPr>
              <w:spacing w:line="240" w:lineRule="auto"/>
            </w:pPr>
            <w:r/>
            <w:r>
              <w:rPr>
                <w:rFonts w:ascii="Times New Roman" w:hAnsi="Times New Roman"/>
                <w:b w:val="0"/>
                <w:sz w:val="18"/>
              </w:rPr>
              <w:t>LH, FSH, ösztradiol, AMH, kismedencei ultrahang</w:t>
            </w:r>
          </w:p>
        </w:tc>
        <w:tc>
          <w:tcPr>
            <w:tcW w:type="dxa" w:w="1768"/>
          </w:tcPr>
          <w:p>
            <w:pPr>
              <w:spacing w:line="240" w:lineRule="auto"/>
            </w:pPr>
            <w:r/>
            <w:r>
              <w:rPr>
                <w:rFonts w:ascii="Times New Roman" w:hAnsi="Times New Roman"/>
                <w:b w:val="0"/>
                <w:sz w:val="18"/>
              </w:rPr>
              <w:t>LC-MS/MS ösztradiol</w:t>
            </w:r>
          </w:p>
        </w:tc>
        <w:tc>
          <w:tcPr>
            <w:tcW w:type="dxa" w:w="1768"/>
          </w:tcPr>
          <w:p>
            <w:pPr>
              <w:spacing w:line="240" w:lineRule="auto"/>
            </w:pPr>
            <w:r/>
            <w:r>
              <w:rPr>
                <w:rFonts w:ascii="Times New Roman" w:hAnsi="Times New Roman"/>
                <w:b w:val="0"/>
                <w:sz w:val="18"/>
              </w:rPr>
              <w:t>klinikai gyanú esetén</w:t>
            </w:r>
          </w:p>
        </w:tc>
        <w:tc>
          <w:tcPr>
            <w:tcW w:type="dxa" w:w="1768"/>
          </w:tcPr>
          <w:p>
            <w:pPr>
              <w:spacing w:line="240" w:lineRule="auto"/>
            </w:pPr>
            <w:r/>
            <w:r>
              <w:rPr>
                <w:rFonts w:ascii="Times New Roman" w:hAnsi="Times New Roman"/>
                <w:b w:val="0"/>
                <w:sz w:val="18"/>
              </w:rPr>
              <w:t>az AMH serdülőkorban **nem diagnosztikus** PCOS-ra; az LH-pulzatilitás rutinszerűen nem mérhető</w:t>
            </w:r>
          </w:p>
        </w:tc>
      </w:tr>
      <w:tr>
        <w:tc>
          <w:tcPr>
            <w:tcW w:type="dxa" w:w="1768"/>
          </w:tcPr>
          <w:p>
            <w:pPr>
              <w:spacing w:line="240" w:lineRule="auto"/>
            </w:pPr>
            <w:r/>
            <w:r>
              <w:rPr>
                <w:rFonts w:ascii="Times New Roman" w:hAnsi="Times New Roman"/>
                <w:b w:val="0"/>
                <w:sz w:val="18"/>
              </w:rPr>
              <w:t>Androgének</w:t>
            </w:r>
          </w:p>
        </w:tc>
        <w:tc>
          <w:tcPr>
            <w:tcW w:type="dxa" w:w="1768"/>
          </w:tcPr>
          <w:p>
            <w:pPr>
              <w:spacing w:line="240" w:lineRule="auto"/>
            </w:pPr>
            <w:r/>
            <w:r>
              <w:rPr>
                <w:rFonts w:ascii="Times New Roman" w:hAnsi="Times New Roman"/>
                <w:b w:val="0"/>
                <w:sz w:val="18"/>
              </w:rPr>
              <w:t>összes tesztoszteron, SHBG, számított szabad androgén index, androsztendion</w:t>
            </w:r>
          </w:p>
        </w:tc>
        <w:tc>
          <w:tcPr>
            <w:tcW w:type="dxa" w:w="1768"/>
          </w:tcPr>
          <w:p>
            <w:pPr>
              <w:spacing w:line="240" w:lineRule="auto"/>
            </w:pPr>
            <w:r/>
            <w:r>
              <w:rPr>
                <w:rFonts w:ascii="Times New Roman" w:hAnsi="Times New Roman"/>
                <w:b w:val="0"/>
                <w:sz w:val="18"/>
              </w:rPr>
              <w:t>LC-MS/MS**, életkor- és Tanner-specifikus referenciával</w:t>
            </w:r>
          </w:p>
        </w:tc>
        <w:tc>
          <w:tcPr>
            <w:tcW w:type="dxa" w:w="1768"/>
          </w:tcPr>
          <w:p>
            <w:pPr>
              <w:spacing w:line="240" w:lineRule="auto"/>
            </w:pPr>
            <w:r/>
            <w:r>
              <w:rPr>
                <w:rFonts w:ascii="Times New Roman" w:hAnsi="Times New Roman"/>
                <w:b w:val="0"/>
                <w:sz w:val="18"/>
              </w:rPr>
              <w:t>indításkor és 12 havonta</w:t>
            </w:r>
          </w:p>
        </w:tc>
        <w:tc>
          <w:tcPr>
            <w:tcW w:type="dxa" w:w="1768"/>
          </w:tcPr>
          <w:p>
            <w:pPr>
              <w:spacing w:line="240" w:lineRule="auto"/>
            </w:pPr>
            <w:r/>
            <w:r>
              <w:rPr>
                <w:rFonts w:ascii="Times New Roman" w:hAnsi="Times New Roman"/>
                <w:b w:val="0"/>
                <w:sz w:val="18"/>
              </w:rPr>
              <w:t>a direkt immunoassay pontatlan; alacsony SHBG mellett a normális összes tesztoszteron elfedheti az androgéntúlsúlyt [26]</w:t>
            </w:r>
          </w:p>
        </w:tc>
      </w:tr>
      <w:tr>
        <w:tc>
          <w:tcPr>
            <w:tcW w:type="dxa" w:w="1768"/>
          </w:tcPr>
          <w:p>
            <w:pPr>
              <w:spacing w:line="240" w:lineRule="auto"/>
            </w:pPr>
            <w:r/>
            <w:r>
              <w:rPr>
                <w:rFonts w:ascii="Times New Roman" w:hAnsi="Times New Roman"/>
                <w:b w:val="0"/>
                <w:sz w:val="18"/>
              </w:rPr>
              <w:t>Testösszetétel</w:t>
            </w:r>
          </w:p>
        </w:tc>
        <w:tc>
          <w:tcPr>
            <w:tcW w:type="dxa" w:w="1768"/>
          </w:tcPr>
          <w:p>
            <w:pPr>
              <w:spacing w:line="240" w:lineRule="auto"/>
            </w:pPr>
            <w:r/>
            <w:r>
              <w:rPr>
                <w:rFonts w:ascii="Times New Roman" w:hAnsi="Times New Roman"/>
                <w:b w:val="0"/>
                <w:sz w:val="18"/>
              </w:rPr>
              <w:t>zsírtömeg, **zsírmentes tömeg**, törzsi zsír, derék–magasság arány</w:t>
            </w:r>
          </w:p>
        </w:tc>
        <w:tc>
          <w:tcPr>
            <w:tcW w:type="dxa" w:w="1768"/>
          </w:tcPr>
          <w:p>
            <w:pPr>
              <w:spacing w:line="240" w:lineRule="auto"/>
            </w:pPr>
            <w:r/>
            <w:r>
              <w:rPr>
                <w:rFonts w:ascii="Times New Roman" w:hAnsi="Times New Roman"/>
                <w:b w:val="0"/>
                <w:sz w:val="18"/>
              </w:rPr>
              <w:t>DXA vagy többfrekvenciás bioimpedancia</w:t>
            </w:r>
          </w:p>
        </w:tc>
        <w:tc>
          <w:tcPr>
            <w:tcW w:type="dxa" w:w="1768"/>
          </w:tcPr>
          <w:p>
            <w:pPr>
              <w:spacing w:line="240" w:lineRule="auto"/>
            </w:pPr>
            <w:r/>
            <w:r>
              <w:rPr>
                <w:rFonts w:ascii="Times New Roman" w:hAnsi="Times New Roman"/>
                <w:b w:val="0"/>
                <w:sz w:val="18"/>
              </w:rPr>
              <w:t>indításkor, majd évente</w:t>
            </w:r>
          </w:p>
        </w:tc>
        <w:tc>
          <w:tcPr>
            <w:tcW w:type="dxa" w:w="1768"/>
          </w:tcPr>
          <w:p>
            <w:pPr>
              <w:spacing w:line="240" w:lineRule="auto"/>
            </w:pPr>
            <w:r/>
            <w:r>
              <w:rPr>
                <w:rFonts w:ascii="Times New Roman" w:hAnsi="Times New Roman"/>
                <w:b w:val="0"/>
                <w:sz w:val="18"/>
              </w:rPr>
              <w:t>a hormonális következmény a zsigeri zsírhoz, nem a testtömeghez kötődik; a zsírmentes tömeg vesztesége külön jelentendő</w:t>
            </w:r>
          </w:p>
        </w:tc>
      </w:tr>
      <w:tr>
        <w:tc>
          <w:tcPr>
            <w:tcW w:type="dxa" w:w="1768"/>
          </w:tcPr>
          <w:p>
            <w:pPr>
              <w:spacing w:line="240" w:lineRule="auto"/>
            </w:pPr>
            <w:r/>
            <w:r>
              <w:rPr>
                <w:rFonts w:ascii="Times New Roman" w:hAnsi="Times New Roman"/>
                <w:b w:val="0"/>
                <w:sz w:val="18"/>
              </w:rPr>
              <w:t>Csont</w:t>
            </w:r>
          </w:p>
        </w:tc>
        <w:tc>
          <w:tcPr>
            <w:tcW w:type="dxa" w:w="1768"/>
          </w:tcPr>
          <w:p>
            <w:pPr>
              <w:spacing w:line="240" w:lineRule="auto"/>
            </w:pPr>
            <w:r/>
            <w:r>
              <w:rPr>
                <w:rFonts w:ascii="Times New Roman" w:hAnsi="Times New Roman"/>
                <w:b w:val="0"/>
                <w:sz w:val="18"/>
              </w:rPr>
              <w:t>BMD Z-score (magasságra korrigálva), P1NP, CTX, kalcium, D-vitamin</w:t>
            </w:r>
          </w:p>
        </w:tc>
        <w:tc>
          <w:tcPr>
            <w:tcW w:type="dxa" w:w="1768"/>
          </w:tcPr>
          <w:p>
            <w:pPr>
              <w:spacing w:line="240" w:lineRule="auto"/>
            </w:pPr>
            <w:r/>
            <w:r>
              <w:rPr>
                <w:rFonts w:ascii="Times New Roman" w:hAnsi="Times New Roman"/>
                <w:b w:val="0"/>
                <w:sz w:val="18"/>
              </w:rPr>
              <w:t>DXA + labor</w:t>
            </w:r>
          </w:p>
        </w:tc>
        <w:tc>
          <w:tcPr>
            <w:tcW w:type="dxa" w:w="1768"/>
          </w:tcPr>
          <w:p>
            <w:pPr>
              <w:spacing w:line="240" w:lineRule="auto"/>
            </w:pPr>
            <w:r/>
            <w:r>
              <w:rPr>
                <w:rFonts w:ascii="Times New Roman" w:hAnsi="Times New Roman"/>
                <w:b w:val="0"/>
                <w:sz w:val="18"/>
              </w:rPr>
              <w:t>indításkor, majd 12–24 havonta</w:t>
            </w:r>
          </w:p>
        </w:tc>
        <w:tc>
          <w:tcPr>
            <w:tcW w:type="dxa" w:w="1768"/>
          </w:tcPr>
          <w:p>
            <w:pPr>
              <w:spacing w:line="240" w:lineRule="auto"/>
            </w:pPr>
            <w:r/>
            <w:r>
              <w:rPr>
                <w:rFonts w:ascii="Times New Roman" w:hAnsi="Times New Roman"/>
                <w:b w:val="0"/>
                <w:sz w:val="18"/>
              </w:rPr>
              <w:t>a serdülőkor a csúcscsonttömeg időablaka</w:t>
            </w:r>
          </w:p>
        </w:tc>
      </w:tr>
      <w:tr>
        <w:tc>
          <w:tcPr>
            <w:tcW w:type="dxa" w:w="1768"/>
          </w:tcPr>
          <w:p>
            <w:pPr>
              <w:spacing w:line="240" w:lineRule="auto"/>
            </w:pPr>
            <w:r/>
            <w:r>
              <w:rPr>
                <w:rFonts w:ascii="Times New Roman" w:hAnsi="Times New Roman"/>
                <w:b w:val="0"/>
                <w:sz w:val="18"/>
              </w:rPr>
              <w:t>Táplálkozás</w:t>
            </w:r>
          </w:p>
        </w:tc>
        <w:tc>
          <w:tcPr>
            <w:tcW w:type="dxa" w:w="1768"/>
          </w:tcPr>
          <w:p>
            <w:pPr>
              <w:spacing w:line="240" w:lineRule="auto"/>
            </w:pPr>
            <w:r/>
            <w:r>
              <w:rPr>
                <w:rFonts w:ascii="Times New Roman" w:hAnsi="Times New Roman"/>
                <w:b w:val="0"/>
                <w:sz w:val="18"/>
              </w:rPr>
              <w:t>ferritin, transzferrin-szaturáció, B12-vitamin, D-vitamin, fehérjebevitel</w:t>
            </w:r>
          </w:p>
        </w:tc>
        <w:tc>
          <w:tcPr>
            <w:tcW w:type="dxa" w:w="1768"/>
          </w:tcPr>
          <w:p>
            <w:pPr>
              <w:spacing w:line="240" w:lineRule="auto"/>
            </w:pPr>
            <w:r/>
            <w:r>
              <w:rPr>
                <w:rFonts w:ascii="Times New Roman" w:hAnsi="Times New Roman"/>
                <w:b w:val="0"/>
                <w:sz w:val="18"/>
              </w:rPr>
              <w:t>labor + étrendi napló</w:t>
            </w:r>
          </w:p>
        </w:tc>
        <w:tc>
          <w:tcPr>
            <w:tcW w:type="dxa" w:w="1768"/>
          </w:tcPr>
          <w:p>
            <w:pPr>
              <w:spacing w:line="240" w:lineRule="auto"/>
            </w:pPr>
            <w:r/>
            <w:r>
              <w:rPr>
                <w:rFonts w:ascii="Times New Roman" w:hAnsi="Times New Roman"/>
                <w:b w:val="0"/>
                <w:sz w:val="18"/>
              </w:rPr>
              <w:t>6 havonta</w:t>
            </w:r>
          </w:p>
        </w:tc>
        <w:tc>
          <w:tcPr>
            <w:tcW w:type="dxa" w:w="1768"/>
          </w:tcPr>
          <w:p>
            <w:pPr>
              <w:spacing w:line="240" w:lineRule="auto"/>
            </w:pPr>
            <w:r/>
            <w:r>
              <w:rPr>
                <w:rFonts w:ascii="Times New Roman" w:hAnsi="Times New Roman"/>
                <w:b w:val="0"/>
                <w:sz w:val="18"/>
              </w:rPr>
              <w:t>a menstruációs vérvesztés és a csökkent bevitel együttese a leggyakrabban elhanyagolt szövődmény</w:t>
            </w:r>
          </w:p>
        </w:tc>
      </w:tr>
      <w:tr>
        <w:tc>
          <w:tcPr>
            <w:tcW w:type="dxa" w:w="1768"/>
          </w:tcPr>
          <w:p>
            <w:pPr>
              <w:spacing w:line="240" w:lineRule="auto"/>
            </w:pPr>
            <w:r/>
            <w:r>
              <w:rPr>
                <w:rFonts w:ascii="Times New Roman" w:hAnsi="Times New Roman"/>
                <w:b w:val="0"/>
                <w:sz w:val="18"/>
              </w:rPr>
              <w:t>Gyulladás</w:t>
            </w:r>
          </w:p>
        </w:tc>
        <w:tc>
          <w:tcPr>
            <w:tcW w:type="dxa" w:w="1768"/>
          </w:tcPr>
          <w:p>
            <w:pPr>
              <w:spacing w:line="240" w:lineRule="auto"/>
            </w:pPr>
            <w:r/>
            <w:r>
              <w:rPr>
                <w:rFonts w:ascii="Times New Roman" w:hAnsi="Times New Roman"/>
                <w:b w:val="0"/>
                <w:sz w:val="18"/>
              </w:rPr>
              <w:t>hsCRP; kutatási környezetben IL-6, adiponektin/leptin</w:t>
            </w:r>
          </w:p>
        </w:tc>
        <w:tc>
          <w:tcPr>
            <w:tcW w:type="dxa" w:w="1768"/>
          </w:tcPr>
          <w:p>
            <w:pPr>
              <w:spacing w:line="240" w:lineRule="auto"/>
            </w:pPr>
            <w:r/>
            <w:r>
              <w:rPr>
                <w:rFonts w:ascii="Times New Roman" w:hAnsi="Times New Roman"/>
                <w:b w:val="0"/>
                <w:sz w:val="18"/>
              </w:rPr>
              <w:t>labor</w:t>
            </w:r>
          </w:p>
        </w:tc>
        <w:tc>
          <w:tcPr>
            <w:tcW w:type="dxa" w:w="1768"/>
          </w:tcPr>
          <w:p>
            <w:pPr>
              <w:spacing w:line="240" w:lineRule="auto"/>
            </w:pPr>
            <w:r/>
            <w:r>
              <w:rPr>
                <w:rFonts w:ascii="Times New Roman" w:hAnsi="Times New Roman"/>
                <w:b w:val="0"/>
                <w:sz w:val="18"/>
              </w:rPr>
              <w:t>évente</w:t>
            </w:r>
          </w:p>
        </w:tc>
        <w:tc>
          <w:tcPr>
            <w:tcW w:type="dxa" w:w="1768"/>
          </w:tcPr>
          <w:p>
            <w:pPr>
              <w:spacing w:line="240" w:lineRule="auto"/>
            </w:pPr>
            <w:r/>
            <w:r>
              <w:rPr>
                <w:rFonts w:ascii="Times New Roman" w:hAnsi="Times New Roman"/>
                <w:b w:val="0"/>
                <w:sz w:val="18"/>
              </w:rPr>
              <w:t>a CRP downstream marker; a mechanizmus igazolásához mediációs elemzés kell</w:t>
            </w:r>
          </w:p>
        </w:tc>
      </w:tr>
      <w:tr>
        <w:tc>
          <w:tcPr>
            <w:tcW w:type="dxa" w:w="1768"/>
          </w:tcPr>
          <w:p>
            <w:pPr>
              <w:spacing w:line="240" w:lineRule="auto"/>
            </w:pPr>
            <w:r/>
            <w:r>
              <w:rPr>
                <w:rFonts w:ascii="Times New Roman" w:hAnsi="Times New Roman"/>
                <w:b w:val="0"/>
                <w:sz w:val="18"/>
              </w:rPr>
              <w:t>Pszichoszociális</w:t>
            </w:r>
          </w:p>
        </w:tc>
        <w:tc>
          <w:tcPr>
            <w:tcW w:type="dxa" w:w="1768"/>
          </w:tcPr>
          <w:p>
            <w:pPr>
              <w:spacing w:line="240" w:lineRule="auto"/>
            </w:pPr>
            <w:r/>
            <w:r>
              <w:rPr>
                <w:rFonts w:ascii="Times New Roman" w:hAnsi="Times New Roman"/>
                <w:b w:val="0"/>
                <w:sz w:val="18"/>
              </w:rPr>
              <w:t>evészavar-tünetek, hangulat, szuicid rizikó</w:t>
            </w:r>
          </w:p>
        </w:tc>
        <w:tc>
          <w:tcPr>
            <w:tcW w:type="dxa" w:w="1768"/>
          </w:tcPr>
          <w:p>
            <w:pPr>
              <w:spacing w:line="240" w:lineRule="auto"/>
            </w:pPr>
            <w:r/>
            <w:r>
              <w:rPr>
                <w:rFonts w:ascii="Times New Roman" w:hAnsi="Times New Roman"/>
                <w:b w:val="0"/>
                <w:sz w:val="18"/>
              </w:rPr>
              <w:t>validált kérdőív</w:t>
            </w:r>
          </w:p>
        </w:tc>
        <w:tc>
          <w:tcPr>
            <w:tcW w:type="dxa" w:w="1768"/>
          </w:tcPr>
          <w:p>
            <w:pPr>
              <w:spacing w:line="240" w:lineRule="auto"/>
            </w:pPr>
            <w:r/>
            <w:r>
              <w:rPr>
                <w:rFonts w:ascii="Times New Roman" w:hAnsi="Times New Roman"/>
                <w:b w:val="0"/>
                <w:sz w:val="18"/>
              </w:rPr>
              <w:t>indításkor, majd 3–6 havonta</w:t>
            </w:r>
          </w:p>
        </w:tc>
        <w:tc>
          <w:tcPr>
            <w:tcW w:type="dxa" w:w="1768"/>
          </w:tcPr>
          <w:p>
            <w:pPr>
              <w:spacing w:line="240" w:lineRule="auto"/>
            </w:pPr>
            <w:r/>
            <w:r>
              <w:rPr>
                <w:rFonts w:ascii="Times New Roman" w:hAnsi="Times New Roman"/>
                <w:b w:val="0"/>
                <w:sz w:val="18"/>
              </w:rPr>
              <w:t>a gyógyszeres vizsgálatokban ez az adat feltűnően hiányos [37]</w:t>
            </w:r>
          </w:p>
        </w:tc>
      </w:tr>
      <w:tr>
        <w:tc>
          <w:tcPr>
            <w:tcW w:type="dxa" w:w="1768"/>
          </w:tcPr>
          <w:p>
            <w:pPr>
              <w:spacing w:line="240" w:lineRule="auto"/>
            </w:pPr>
            <w:r/>
            <w:r>
              <w:rPr>
                <w:rFonts w:ascii="Times New Roman" w:hAnsi="Times New Roman"/>
                <w:b w:val="0"/>
                <w:sz w:val="18"/>
              </w:rPr>
              <w:t>Reprodukció</w:t>
            </w:r>
          </w:p>
        </w:tc>
        <w:tc>
          <w:tcPr>
            <w:tcW w:type="dxa" w:w="1768"/>
          </w:tcPr>
          <w:p>
            <w:pPr>
              <w:spacing w:line="240" w:lineRule="auto"/>
            </w:pPr>
            <w:r/>
            <w:r>
              <w:rPr>
                <w:rFonts w:ascii="Times New Roman" w:hAnsi="Times New Roman"/>
                <w:b w:val="0"/>
                <w:sz w:val="18"/>
              </w:rPr>
              <w:t>fogamzásgátlási státusz, terhességi terv, washout-terv</w:t>
            </w:r>
          </w:p>
        </w:tc>
        <w:tc>
          <w:tcPr>
            <w:tcW w:type="dxa" w:w="1768"/>
          </w:tcPr>
          <w:p>
            <w:pPr>
              <w:spacing w:line="240" w:lineRule="auto"/>
            </w:pPr>
            <w:r/>
            <w:r>
              <w:rPr>
                <w:rFonts w:ascii="Times New Roman" w:hAnsi="Times New Roman"/>
                <w:b w:val="0"/>
                <w:sz w:val="18"/>
              </w:rPr>
              <w:t>anamnézis</w:t>
            </w:r>
          </w:p>
        </w:tc>
        <w:tc>
          <w:tcPr>
            <w:tcW w:type="dxa" w:w="1768"/>
          </w:tcPr>
          <w:p>
            <w:pPr>
              <w:spacing w:line="240" w:lineRule="auto"/>
            </w:pPr>
            <w:r/>
            <w:r>
              <w:rPr>
                <w:rFonts w:ascii="Times New Roman" w:hAnsi="Times New Roman"/>
                <w:b w:val="0"/>
                <w:sz w:val="18"/>
              </w:rPr>
              <w:t>minden találkozáskor</w:t>
            </w:r>
          </w:p>
        </w:tc>
        <w:tc>
          <w:tcPr>
            <w:tcW w:type="dxa" w:w="1768"/>
          </w:tcPr>
          <w:p>
            <w:pPr>
              <w:spacing w:line="240" w:lineRule="auto"/>
            </w:pPr>
            <w:r/>
            <w:r>
              <w:rPr>
                <w:rFonts w:ascii="Times New Roman" w:hAnsi="Times New Roman"/>
                <w:b w:val="0"/>
                <w:sz w:val="18"/>
              </w:rPr>
              <w:t>a ciklus rendeződése a nem tervezett terhesség kockázatát is emeli</w:t>
            </w:r>
          </w:p>
        </w:tc>
      </w:tr>
    </w:tbl>
    <w:p>
      <w:pPr>
        <w:spacing w:after="80"/>
      </w:pPr>
    </w:p>
    <w:p>
      <w:pPr>
        <w:spacing w:line="240" w:lineRule="auto"/>
      </w:pPr>
      <w:r>
        <w:rPr>
          <w:b w:val="0"/>
          <w:i/>
          <w:sz w:val="18"/>
        </w:rPr>
        <w:t>Megjegyzés: A táblázat a jelen áttekintés által azonosított hiányokból levezetett gondozási javaslat, nem ajánlás és nem protokoll. Egyúttal azt a minimális végpontkészletet is megadja, amelyet egy jövőbeli, serdülőkori reproduktív végpontokra tervezett vizsgálatnak mérnie kellene. Rövidítések: SDS = standard deviációs pontszám; TW3 = Tanner–Whitehouse 3; AMH = anti-Müller-hormon; LC-MS/MS = folyadékkromatográfiával kapcsolt tandem tömegspektrometria; SHBG = szexuálhormon-kötő globulin; DXA = kettős energiájú röntgenabszorpciometria; BMD = csontásványianyag-sűrűség; P1NP = prokollagén-I N-terminális propeptid; CTX = C-terminális telopeptid; hsCRP = nagy érzékenységű C-reaktív protein.</w:t>
      </w:r>
    </w:p>
    <w:p>
      <w:r>
        <w:br w:type="page"/>
      </w:r>
    </w:p>
    <w:p>
      <w:pPr>
        <w:spacing w:before="0" w:after="120"/>
      </w:pPr>
      <w:r>
        <w:rPr>
          <w:b/>
          <w:sz w:val="24"/>
        </w:rPr>
        <w:t>ÁBRAALÁÍRÁSOK</w:t>
      </w:r>
    </w:p>
    <w:p>
      <w:pPr>
        <w:spacing w:line="360" w:lineRule="auto" w:after="160"/>
      </w:pPr>
      <w:r>
        <w:rPr>
          <w:b/>
          <w:i w:val="0"/>
          <w:sz w:val="24"/>
        </w:rPr>
        <w:t>1. ábra.</w:t>
      </w:r>
      <w:r>
        <w:rPr>
          <w:b w:val="0"/>
          <w:i w:val="0"/>
          <w:sz w:val="24"/>
        </w:rPr>
        <w:t xml:space="preserve"> A GLP-1 receptor agonisták hatása a serdülőkori reproduktív axisra: öt hatásdomén és közös reproduktív kimenetük. A kék nyilak a gyógyszerhatás irányát, a piros nyilak az egyes hatásdomének reproduktív kimenetre gyakorolt hatását jelölik. A tirzepatid GIP/GLP-1 kettős agonista, 18 éves kor alatt nem törzskönyvezett. *Rövidítések:* SHBG = szexuálhormon-kötő globulin; ALT = alanin-aminotranszferáz; CRP = C-reaktív protein; SMD = standardizált átlagkülönbség; GDM = gestatiós diabetes; T2DM = 2-es típusú diabetes; PCOS = polycystás ovarium szindróma.</w:t>
      </w:r>
    </w:p>
    <w:p>
      <w:pPr>
        <w:spacing w:line="360" w:lineRule="auto" w:after="160"/>
      </w:pPr>
      <w:r>
        <w:rPr>
          <w:b/>
          <w:i w:val="0"/>
          <w:sz w:val="24"/>
        </w:rPr>
        <w:t>2. ábra.</w:t>
      </w:r>
      <w:r>
        <w:rPr>
          <w:b w:val="0"/>
          <w:i w:val="0"/>
          <w:sz w:val="24"/>
        </w:rPr>
        <w:t xml:space="preserve"> Életút flow-chart: három kockázati pálya a praepubertastól az időskorig. A – normál testalkatú leány; B – obes leány kezelés nélkül; C – obes leány, serdülőkorban megkezdett és tartósan fenntartott GLP-1 receptor agonista kezeléssel. A függőleges nyíl a terápiás beavatkozás időpontját jelöli. A pályák a jelenlegi bizonyítékokból levezetett, szemléltető kockázati trajektóriák; nem egyéni prognózis és nem mért incidenciaértékek. *Rövidítések:* pc = percentilis; MASLD = metabolikus diszfunkcióhoz társuló steatoticus májbetegség; hsCRP = nagy érzékenységű C-reaktív protein.</w:t>
      </w:r>
    </w:p>
    <w:p>
      <w:pPr>
        <w:spacing w:line="360" w:lineRule="auto" w:after="160"/>
      </w:pPr>
      <w:r>
        <w:rPr>
          <w:b/>
          <w:i w:val="0"/>
          <w:sz w:val="24"/>
        </w:rPr>
        <w:t>3. ábra.</w:t>
      </w:r>
      <w:r>
        <w:rPr>
          <w:b w:val="0"/>
          <w:i w:val="0"/>
          <w:sz w:val="24"/>
        </w:rPr>
        <w:t xml:space="preserve"> Mi előzhető meg, mennyi társadalmi költséggel, és mennyire biztos. (a) A 14 és 65 éves kor között elhárítható vagy késleltethető megbetegedések száma 1000 nőre, a kezeletlen (B) és a kezelt (C) pálya összevetésében. (b) Kumulált, 3%/év mellett diszkontált társadalmi költség életkor szerint, három gyógyszerár mellett (5 000, 20 000 és 35 000 Ft/hó). (c) A nettó élettartam-mérleg a havi gyógyszerár függvényében, társadalmi perspektívában (a munkahelyi távolléteket és a reprodukciós veszteséget is beszámítva), illetve kizárólag a közvetlen ellátási költséggel számolva; a pontok a költségsemleges küszöbárat jelölik, a zöld sáv a megtakarítási tartomány. (d) Egyirányú érzékenységi elemzés: a zöld pont a kedvezőbb, a piros a kedvezőtlenebb szélsőérték, a függőleges vonal az alapeset. (e) Valószínűségi érzékenységi elemzés: a megtakarítás valószínűsége a havi gyógyszerár függvényében, 4000 Monte Carlo-futtatás alapján; a piros pont az 50%-os átmetszés. (f) A modell feltételezései és az, ami szándékosan nem szerepel benne. Szemléltető modelleredmény a 3. táblázat feltételezéseivel; nem mért incidencia- és nem mért költségadat.</w:t>
      </w:r>
    </w:p>
    <w:p>
      <w:pPr>
        <w:spacing w:line="360" w:lineRule="auto" w:after="160"/>
      </w:pPr>
      <w:r>
        <w:rPr>
          <w:b/>
          <w:i w:val="0"/>
          <w:sz w:val="24"/>
        </w:rPr>
        <w:t>4. ábra.</w:t>
      </w:r>
      <w:r>
        <w:rPr>
          <w:b w:val="0"/>
          <w:i w:val="0"/>
          <w:sz w:val="24"/>
        </w:rPr>
        <w:t xml:space="preserve"> Az inkretintengely biokémiai kaszkádja a reproduktív axis felé. A bal oldali doboz az inkretinhatás forrását és a terápiás analógok farmakokinetikai módosítását foglalja össze. Az 1–4. sáv a négy hatásirányt mutatja a kiindulási változástól a biokémiai lépésen át a reproduktív kimenetig; az 5. sáv az ellentétes irányú, alacsony energia-hozzáférhetőségen alapuló mechanizmust. A folytonos nyilak dokumentált, a szaggatott nyilak feltételezett útvonalat jelölnek. *Rövidítések:* DPP-4 = dipeptidil-peptidáz-4; t½ = felezési idő; HNF-4α = hepatocyta nukleáris faktor 4-alfa; SHBG = szexuálhormon-kötő globulin; POMC = pro-opiomelanokortin; α-MSH = alfa-melanocyta-stimuláló hormon; MC3/4R = melanokortin-3/4 receptor; GnRH = gonadotropin-releasing hormon; LH = luteinizáló hormon; FSH = follikulusstimuláló hormon; IL-6 = interleukin-6; TNF-α = tumornekrózis-faktor-alfa; CRP = C-reaktív protein; SMD = standardizált átlagkülönbség; GLP-1R = GLP-1 receptor.</w:t>
      </w:r>
    </w:p>
    <w:p>
      <w:pPr>
        <w:spacing w:line="480" w:lineRule="auto"/>
      </w:pPr>
      <w:r>
        <w:rPr>
          <w:b w:val="0"/>
          <w:i/>
          <w:sz w:val="20"/>
        </w:rPr>
        <w:t>Mindhárom ábra színes; külön fájlban, 300 dpi TIFF és 600 dpi PNG formátumban kerül benyújtásra. Az ábrák szerkeszthető feliratokkal készültek, és fekete-fehér nyomtatásban is értelmezhetők, mert a színek mellett a vonalstílus és a sávpozíció is megkülönbözteti a három pályát.</w:t>
      </w:r>
    </w:p>
    <w:sectPr w:rsidR="00FC693F" w:rsidRPr="0006063C" w:rsidSect="00034616">
      <w:headerReference w:type="default" r:id="rId9"/>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