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80511D" w:rsidP="00E1449D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53pt;height:212.25pt">
            <v:imagedata r:id="rId8" o:title="ucDiagram"/>
          </v:shape>
        </w:pict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p w:rsidR="001F1098" w:rsidRDefault="001F1098">
      <w:pPr>
        <w:rPr>
          <w:sz w:val="24"/>
          <w:szCs w:val="24"/>
        </w:rPr>
      </w:pP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0F23A6" w:rsidRDefault="000F23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1098" w:rsidRDefault="001F1098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megkérdezi a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et</w:t>
            </w:r>
            <w:proofErr w:type="gramEnd"/>
            <w:r>
              <w:rPr>
                <w:sz w:val="24"/>
                <w:szCs w:val="24"/>
              </w:rPr>
              <w:t xml:space="preserve"> amin áll, hogy áll-e más is rajta, ha igen akkor ütköznek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kocsi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egyes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, majd </w:t>
            </w:r>
            <w:proofErr w:type="spellStart"/>
            <w:r>
              <w:rPr>
                <w:sz w:val="24"/>
                <w:szCs w:val="24"/>
              </w:rPr>
              <w:t>Szerelvenyre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meghívódik</w:t>
            </w:r>
            <w:proofErr w:type="spellEnd"/>
            <w:r>
              <w:rPr>
                <w:sz w:val="24"/>
                <w:szCs w:val="24"/>
              </w:rPr>
              <w:t xml:space="preserve"> a maga rajzol függvénye (</w:t>
            </w:r>
            <w:proofErr w:type="spellStart"/>
            <w:r>
              <w:rPr>
                <w:sz w:val="24"/>
                <w:szCs w:val="24"/>
              </w:rPr>
              <w:t>kiv</w:t>
            </w:r>
            <w:proofErr w:type="spellEnd"/>
            <w:r>
              <w:rPr>
                <w:sz w:val="24"/>
                <w:szCs w:val="24"/>
              </w:rPr>
              <w:t xml:space="preserve">. ha </w:t>
            </w:r>
            <w:proofErr w:type="spellStart"/>
            <w:r>
              <w:rPr>
                <w:sz w:val="24"/>
                <w:szCs w:val="24"/>
              </w:rPr>
              <w:t>Alagutban</w:t>
            </w:r>
            <w:proofErr w:type="spellEnd"/>
            <w:r>
              <w:rPr>
                <w:sz w:val="24"/>
                <w:szCs w:val="24"/>
              </w:rPr>
              <w:t xml:space="preserve"> van).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m1.</w:t>
      </w:r>
      <w:proofErr w:type="gramStart"/>
      <w:r>
        <w:rPr>
          <w:b/>
          <w:sz w:val="24"/>
          <w:szCs w:val="24"/>
        </w:rPr>
        <w:t>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:rsidR="00E02B92" w:rsidRPr="00E02B92" w:rsidRDefault="00E02B92" w:rsidP="00E02B92">
      <w:pPr>
        <w:keepNext/>
        <w:spacing w:before="240" w:after="60"/>
        <w:rPr>
          <w:rFonts w:ascii="Arial" w:eastAsia="Arial" w:hAnsi="Arial" w:cs="Arial"/>
          <w:sz w:val="24"/>
          <w:szCs w:val="24"/>
        </w:rPr>
      </w:pPr>
      <w:r w:rsidRPr="00E02B92">
        <w:rPr>
          <w:rFonts w:ascii="Arial" w:eastAsia="Arial" w:hAnsi="Arial" w:cs="Arial"/>
          <w:sz w:val="24"/>
          <w:szCs w:val="24"/>
        </w:rPr>
        <w:t>Az alább szereplő szekvenciadiagramok megegyeznek a 4.4-es pont tartalmával.</w:t>
      </w:r>
    </w:p>
    <w:p w:rsidR="00E02B92" w:rsidRPr="00E02B92" w:rsidRDefault="00E02B92" w:rsidP="00E02B92">
      <w:pPr>
        <w:pStyle w:val="Listaszerbekezds"/>
        <w:keepNext/>
        <w:numPr>
          <w:ilvl w:val="0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0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E02B92" w:rsidRDefault="00E02B92" w:rsidP="00E02B92">
      <w:pPr>
        <w:pStyle w:val="Listaszerbekezds"/>
        <w:keepNext/>
        <w:numPr>
          <w:ilvl w:val="1"/>
          <w:numId w:val="2"/>
        </w:numPr>
        <w:spacing w:before="240" w:after="120"/>
        <w:contextualSpacing w:val="0"/>
        <w:rPr>
          <w:rFonts w:ascii="Arial" w:eastAsia="Arial" w:hAnsi="Arial" w:cs="Arial"/>
          <w:b/>
          <w:vanish/>
          <w:color w:val="000000" w:themeColor="text1"/>
          <w:sz w:val="28"/>
          <w:szCs w:val="28"/>
        </w:rPr>
      </w:pP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AD1FA1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46" type="#_x0000_t75" style="width:453pt;height:522.7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5" type="#_x0000_t75" style="width:453.75pt;height:188.25pt">
            <v:imagedata r:id="rId27" o:title="AddAlag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6" type="#_x0000_t75" style="width:453pt;height:99.75pt">
            <v:imagedata r:id="rId28" o:title="AlagutSzajClick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07.25pt;height:188.25pt">
            <v:imagedata r:id="rId29" o:title="AlagutSzajLeptet"/>
          </v:shape>
        </w:pict>
      </w: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AllomasLeptet</w:t>
      </w:r>
      <w:proofErr w:type="spellEnd"/>
    </w:p>
    <w:p w:rsidR="00A5029E" w:rsidRDefault="00A5029E" w:rsidP="00A5029E">
      <w:pPr>
        <w:pStyle w:val="Listaszerbekezds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04.25pt;height:93pt">
            <v:imagedata r:id="rId30" o:title="AllomasLeptet"/>
          </v:shape>
        </w:pict>
      </w:r>
    </w:p>
    <w:p w:rsidR="00A5029E" w:rsidRDefault="00A5029E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344.25pt;height:203.25pt">
            <v:imagedata r:id="rId31" o:title="ini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A5029E" w:rsidP="005F31DD">
      <w:pPr>
        <w:pStyle w:val="Listaszerbekezds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53pt;height:92.25pt">
            <v:imagedata r:id="rId32" o:title="Inp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450pt;height:132pt">
            <v:imagedata r:id="rId33" o:title="Jatszik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440.25pt;height:176.25pt">
            <v:imagedata r:id="rId34" o:title="KocsiLeszalli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A5029E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441pt;height:213pt">
            <v:imagedata r:id="rId35" o:title="KocsiMozgat"/>
          </v:shape>
        </w:pict>
      </w: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RemoveAlagut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0" type="#_x0000_t75" style="width:431.25pt;height:155.25pt">
            <v:imagedata r:id="rId36" o:title="RemoveAlagu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1" type="#_x0000_t75" style="width:453pt;height:186pt">
            <v:imagedata r:id="rId37" o:title="UtkozesVizsgla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2" type="#_x0000_t75" style="width:333pt;height:99pt">
            <v:imagedata r:id="rId38" o:title="ValtoClick"/>
          </v:shape>
        </w:pict>
      </w:r>
      <w:r w:rsidR="00DC477B"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3" type="#_x0000_t75" style="width:293.25pt;height:113.25pt">
            <v:imagedata r:id="rId39" o:title="ValtoLeptet"/>
          </v:shape>
        </w:pict>
      </w:r>
    </w:p>
    <w:p w:rsidR="005F31DD" w:rsidRDefault="005F31DD" w:rsidP="005F31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5F31DD" w:rsidRDefault="00A5029E" w:rsidP="005F31DD">
      <w:pPr>
        <w:keepNext/>
        <w:spacing w:before="240" w:after="60"/>
        <w:ind w:left="72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44" type="#_x0000_t75" style="width:453.75pt;height:207.75pt">
            <v:imagedata r:id="rId40" o:title="VonatMozgat"/>
          </v:shape>
        </w:pict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1F1098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52E" w:rsidRDefault="000F752E">
      <w:r>
        <w:separator/>
      </w:r>
    </w:p>
  </w:endnote>
  <w:endnote w:type="continuationSeparator" w:id="0">
    <w:p w:rsidR="000F752E" w:rsidRDefault="000F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AD1FA1">
      <w:rPr>
        <w:noProof/>
      </w:rPr>
      <w:t>7</w:t>
    </w:r>
    <w:r>
      <w:fldChar w:fldCharType="end"/>
    </w:r>
  </w:p>
  <w:p w:rsidR="001F1098" w:rsidRDefault="003C713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2017-02-10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52E" w:rsidRDefault="000F752E">
      <w:r>
        <w:separator/>
      </w:r>
    </w:p>
  </w:footnote>
  <w:footnote w:type="continuationSeparator" w:id="0">
    <w:p w:rsidR="000F752E" w:rsidRDefault="000F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Sugarkatapult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F1098"/>
    <w:rsid w:val="00213A94"/>
    <w:rsid w:val="003C713F"/>
    <w:rsid w:val="004F4F4B"/>
    <w:rsid w:val="0050769A"/>
    <w:rsid w:val="005A1994"/>
    <w:rsid w:val="005F31DD"/>
    <w:rsid w:val="007139DB"/>
    <w:rsid w:val="0080511D"/>
    <w:rsid w:val="008C3F69"/>
    <w:rsid w:val="00A5029E"/>
    <w:rsid w:val="00AD1FA1"/>
    <w:rsid w:val="00D21DA3"/>
    <w:rsid w:val="00D23C79"/>
    <w:rsid w:val="00DC477B"/>
    <w:rsid w:val="00E02B92"/>
    <w:rsid w:val="00E1449D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2364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21A5-B947-4FD9-8EBE-66645651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794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Zotya Docs</cp:lastModifiedBy>
  <cp:revision>26</cp:revision>
  <dcterms:created xsi:type="dcterms:W3CDTF">2017-03-10T21:40:00Z</dcterms:created>
  <dcterms:modified xsi:type="dcterms:W3CDTF">2017-03-10T21:51:00Z</dcterms:modified>
</cp:coreProperties>
</file>