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066E4D3E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t>2023年广东省深圳市中考道德与法治试卷</w:t>
      </w:r>
    </w:p>
    <w:p w14:paraId="32D33E99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一、单选题</w:t>
      </w:r>
    </w:p>
    <w:p w14:paraId="5A63C8D1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1．时代各有不同，青春一脉相承。青春，带着特殊的邀约，款款而来，对此，我们应该（　　）</w:t>
      </w:r>
    </w:p>
    <w:p w14:paraId="4CBAC543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A．怀揣梦想，追求物质财富</w:t>
      </w:r>
      <w:r>
        <w:tab/>
      </w:r>
    </w:p>
    <w:p w14:paraId="6E6DA2D3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B．砥砺奋进，承担时代使命</w:t>
      </w:r>
      <w:r>
        <w:tab/>
      </w:r>
    </w:p>
    <w:p w14:paraId="0D190D51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C．努力学习，乐于超越他人</w:t>
      </w:r>
      <w:r>
        <w:tab/>
      </w:r>
    </w:p>
    <w:p w14:paraId="63772DAD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D．完善自己，唯求独善其身</w:t>
      </w:r>
    </w:p>
    <w:p w14:paraId="1351AE54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2．深圳市开展禁毒先锋青少年教育培训行动，这是深化青少年预防毒品教育的创新举措。此项活动提倡我们（　　）</w:t>
      </w:r>
    </w:p>
    <w:p w14:paraId="309DB04E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A．依法自律，远离毒品危害</w:t>
      </w:r>
      <w:r>
        <w:tab/>
      </w:r>
    </w:p>
    <w:p w14:paraId="7B991F04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B．珍爱生命，探寻生命意义</w:t>
      </w:r>
      <w:r>
        <w:tab/>
      </w:r>
    </w:p>
    <w:p w14:paraId="43739F16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C．尊崇法治，参加扫毒行动</w:t>
      </w:r>
      <w:r>
        <w:tab/>
      </w:r>
    </w:p>
    <w:p w14:paraId="5B0E5D24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D．自律自强，克服一切诱惑</w:t>
      </w:r>
    </w:p>
    <w:p w14:paraId="60F8E1BF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3．道德与法治课堂开展事例评价活动，以下事例和评价不合理的是（　　）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</w:tblPr>
      <w:tblGrid>
        <w:gridCol w:w="4000"/>
        <w:gridCol w:w="4000"/>
      </w:tblGrid>
      <w:tr w14:paraId="685EEBD4">
        <w:tblPrEx>
          <w:tblW w:w="0" w:type="auto"/>
          <w:tblInd w:w="280" w:type="dxa"/>
        </w:tblPrEx>
        <w:tc>
          <w:tcPr>
            <w:tcW w:w="4000" w:type="dxa"/>
          </w:tcPr>
          <w:p w14:paraId="2E72023F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事例</w:t>
            </w:r>
          </w:p>
        </w:tc>
        <w:tc>
          <w:tcPr>
            <w:tcW w:w="4000" w:type="dxa"/>
          </w:tcPr>
          <w:p w14:paraId="63EB2CD2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评价</w:t>
            </w:r>
          </w:p>
        </w:tc>
      </w:tr>
      <w:tr w14:paraId="39388BAC">
        <w:tblPrEx>
          <w:tblW w:w="0" w:type="auto"/>
          <w:tblInd w:w="280" w:type="dxa"/>
        </w:tblPrEx>
        <w:tc>
          <w:tcPr>
            <w:tcW w:w="4000" w:type="dxa"/>
          </w:tcPr>
          <w:p w14:paraId="0E6E5808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A.深圳市中小学将人工智能学习纳入地方课程</w:t>
            </w:r>
          </w:p>
        </w:tc>
        <w:tc>
          <w:tcPr>
            <w:tcW w:w="4000" w:type="dxa"/>
          </w:tcPr>
          <w:p w14:paraId="61791D98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评价：有利于培养学生的创新意识和能力</w:t>
            </w:r>
          </w:p>
        </w:tc>
      </w:tr>
      <w:tr w14:paraId="37123AC0">
        <w:tblPrEx>
          <w:tblW w:w="0" w:type="auto"/>
          <w:tblInd w:w="280" w:type="dxa"/>
        </w:tblPrEx>
        <w:tc>
          <w:tcPr>
            <w:tcW w:w="4000" w:type="dxa"/>
          </w:tcPr>
          <w:p w14:paraId="134C0D45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B.某中学将绘画，摄影，烹饪，花艺，棒球等纳入到校内社团当中</w:t>
            </w:r>
          </w:p>
        </w:tc>
        <w:tc>
          <w:tcPr>
            <w:tcW w:w="4000" w:type="dxa"/>
          </w:tcPr>
          <w:p w14:paraId="421E7FF0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评价：有利于五育并举，促进学生全面发展</w:t>
            </w:r>
          </w:p>
        </w:tc>
      </w:tr>
      <w:tr w14:paraId="7CD35C68">
        <w:tblPrEx>
          <w:tblW w:w="0" w:type="auto"/>
          <w:tblInd w:w="280" w:type="dxa"/>
        </w:tblPrEx>
        <w:tc>
          <w:tcPr>
            <w:tcW w:w="4000" w:type="dxa"/>
          </w:tcPr>
          <w:p w14:paraId="7F774233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C.小粤在一次聚会上，主动和长辈打招呼，用公筷给他人夹菜</w:t>
            </w:r>
          </w:p>
        </w:tc>
        <w:tc>
          <w:tcPr>
            <w:tcW w:w="4000" w:type="dxa"/>
          </w:tcPr>
          <w:p w14:paraId="3FCB5F4E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评价：践行文明，尊重他人</w:t>
            </w:r>
          </w:p>
        </w:tc>
      </w:tr>
      <w:tr w14:paraId="4922BC5C">
        <w:tblPrEx>
          <w:tblW w:w="0" w:type="auto"/>
          <w:tblInd w:w="280" w:type="dxa"/>
        </w:tblPrEx>
        <w:tc>
          <w:tcPr>
            <w:tcW w:w="4000" w:type="dxa"/>
          </w:tcPr>
          <w:p w14:paraId="66ACA0A6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D.YYDS、躺平摆烂等网络热词受到学生追捧</w:t>
            </w:r>
          </w:p>
        </w:tc>
        <w:tc>
          <w:tcPr>
            <w:tcW w:w="4000" w:type="dxa"/>
          </w:tcPr>
          <w:p w14:paraId="04843EAF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评价：追逐潮流，发扬网络文化</w:t>
            </w:r>
          </w:p>
        </w:tc>
      </w:tr>
    </w:tbl>
    <w:p w14:paraId="0BE8921F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C．C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D．D</w:t>
      </w:r>
    </w:p>
    <w:p w14:paraId="1BD247C1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4．20年来，深圳市爱心助人活动，共举行活动3.4万次，惠及广大市民，构筑起深圳爱心助人城市文化地标。该活动提倡我们（　　）</w:t>
      </w:r>
    </w:p>
    <w:p w14:paraId="19239C4A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A．自强不息，厚德载物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B．开放包容，务实法治</w:t>
      </w:r>
      <w:r>
        <w:tab/>
      </w:r>
    </w:p>
    <w:p w14:paraId="628F3B81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C．乐于助人，扶危济困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D．行己有耻，止于至善</w:t>
      </w:r>
    </w:p>
    <w:p w14:paraId="7743AA2F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5．下列人物提升的共同品质是（　　）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</w:tblPr>
      <w:tblGrid>
        <w:gridCol w:w="4000"/>
        <w:gridCol w:w="4000"/>
      </w:tblGrid>
      <w:tr w14:paraId="13520C27">
        <w:tblPrEx>
          <w:tblW w:w="0" w:type="auto"/>
          <w:tblInd w:w="280" w:type="dxa"/>
        </w:tblPrEx>
        <w:tc>
          <w:tcPr>
            <w:tcW w:w="4000" w:type="dxa"/>
          </w:tcPr>
          <w:p w14:paraId="20501DFD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罗阳</w:t>
            </w:r>
          </w:p>
        </w:tc>
        <w:tc>
          <w:tcPr>
            <w:tcW w:w="4000" w:type="dxa"/>
          </w:tcPr>
          <w:p w14:paraId="66093FC8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奋斗30年，托起中国战机</w:t>
            </w:r>
          </w:p>
        </w:tc>
      </w:tr>
      <w:tr w14:paraId="24AF4E2C">
        <w:tblPrEx>
          <w:tblW w:w="0" w:type="auto"/>
          <w:tblInd w:w="280" w:type="dxa"/>
        </w:tblPrEx>
        <w:tc>
          <w:tcPr>
            <w:tcW w:w="4000" w:type="dxa"/>
          </w:tcPr>
          <w:p w14:paraId="06606AB8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郭明义</w:t>
            </w:r>
          </w:p>
        </w:tc>
        <w:tc>
          <w:tcPr>
            <w:tcW w:w="4000" w:type="dxa"/>
          </w:tcPr>
          <w:p w14:paraId="0CA19C95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义务献血六万余毫升</w:t>
            </w:r>
          </w:p>
        </w:tc>
      </w:tr>
      <w:tr w14:paraId="212C5BA0">
        <w:tblPrEx>
          <w:tblW w:w="0" w:type="auto"/>
          <w:tblInd w:w="280" w:type="dxa"/>
        </w:tblPrEx>
        <w:tc>
          <w:tcPr>
            <w:tcW w:w="4000" w:type="dxa"/>
          </w:tcPr>
          <w:p w14:paraId="03104B44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徐淙祥</w:t>
            </w:r>
          </w:p>
        </w:tc>
        <w:tc>
          <w:tcPr>
            <w:tcW w:w="4000" w:type="dxa"/>
          </w:tcPr>
          <w:p w14:paraId="2C8526E8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将一生贡献给农田事业</w:t>
            </w:r>
          </w:p>
        </w:tc>
      </w:tr>
      <w:tr w14:paraId="1789F3E8">
        <w:tblPrEx>
          <w:tblW w:w="0" w:type="auto"/>
          <w:tblInd w:w="280" w:type="dxa"/>
        </w:tblPrEx>
        <w:tc>
          <w:tcPr>
            <w:tcW w:w="4000" w:type="dxa"/>
          </w:tcPr>
          <w:p w14:paraId="4D3A3EF1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邓小岚</w:t>
            </w:r>
          </w:p>
        </w:tc>
        <w:tc>
          <w:tcPr>
            <w:tcW w:w="4000" w:type="dxa"/>
          </w:tcPr>
          <w:p w14:paraId="0A4B7C59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义务支教十几年，将山里娃送上大舞台</w:t>
            </w:r>
          </w:p>
        </w:tc>
      </w:tr>
    </w:tbl>
    <w:p w14:paraId="4E923F6D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A．诚实守信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B．无私奉献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C．见利思义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D．勤劳勇敢</w:t>
      </w:r>
    </w:p>
    <w:p w14:paraId="0C7E4045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6．骑手工作走街串巷，是挖掘基层治理死角与盲区的“千里眼”“顺风耳”。南山区党委通过联动各方，发扬党员骑手、最美骑手的“主人翁”精神，引导他们积极担当文明宣传员，以上做法体现了（　　）</w:t>
      </w:r>
    </w:p>
    <w:p w14:paraId="012105EA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A．行政机关致力于打造服务型政府</w:t>
      </w:r>
      <w:r>
        <w:tab/>
      </w:r>
    </w:p>
    <w:p w14:paraId="48CE4AFC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B．党为人民的幸福生活而奋斗</w:t>
      </w:r>
      <w:r>
        <w:tab/>
      </w:r>
    </w:p>
    <w:p w14:paraId="76A1B9C2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C．人民的幸福生活是基本的大权</w:t>
      </w:r>
      <w:r>
        <w:tab/>
      </w:r>
    </w:p>
    <w:p w14:paraId="71B13DBF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D．快递员享有物质帮助权</w:t>
      </w:r>
    </w:p>
    <w:p w14:paraId="6FE19EA2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7．在深圳宪法公园，公益普法活动并不少见，每个月主题博物馆会举办各种主题的法律月展览，周末还开展模拟法庭、免费法律咨询等多种多样的普法活动。群众打卡深圳宪法公园（　　）</w:t>
      </w:r>
    </w:p>
    <w:p w14:paraId="04C6B8A6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A．说明宪法具有最高法律效力、权威和地位</w:t>
      </w:r>
      <w:r>
        <w:tab/>
      </w:r>
    </w:p>
    <w:p w14:paraId="134FFA36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B．体现宪法是我国所有法律的总和</w:t>
      </w:r>
      <w:r>
        <w:tab/>
      </w:r>
    </w:p>
    <w:p w14:paraId="6D676E78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C．体现政府坚持以人民为中心，依宪执政</w:t>
      </w:r>
      <w:r>
        <w:tab/>
      </w:r>
    </w:p>
    <w:p w14:paraId="32CC3D8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D．激发人民群众自觉认同、践行宪法的热情</w:t>
      </w:r>
    </w:p>
    <w:p w14:paraId="4F81FA7C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8．维护国家安全，公民应（　　）</w:t>
      </w:r>
    </w:p>
    <w:p w14:paraId="5FAA0A48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A．加强国家保护领域的立法</w:t>
      </w:r>
      <w:r>
        <w:tab/>
      </w:r>
    </w:p>
    <w:p w14:paraId="0C7940A2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B．履行维护国家利益的法定义务</w:t>
      </w:r>
      <w:r>
        <w:tab/>
      </w:r>
    </w:p>
    <w:p w14:paraId="05E8DF95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C．构建人类命运共同体</w:t>
      </w:r>
      <w:r>
        <w:tab/>
      </w:r>
    </w:p>
    <w:p w14:paraId="78867402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D．行使政治自由的法定权利</w:t>
      </w:r>
    </w:p>
    <w:p w14:paraId="73CBF51E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9．近年来，深圳公安经侦部门不断创新探索，努力做到护企安商有力度、有温度，既重拳打击违法犯罪，又提高对企业的服务水平，营造更健康、更安全、更高质量的发展环境。上述行为反映了（　　）</w:t>
      </w:r>
    </w:p>
    <w:p w14:paraId="786FDE6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A．执法机关严格执法，捍卫正义</w:t>
      </w:r>
      <w:r>
        <w:tab/>
      </w:r>
    </w:p>
    <w:p w14:paraId="3813EF68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B．立法机关完善法律，维护稳定</w:t>
      </w:r>
      <w:r>
        <w:tab/>
      </w:r>
    </w:p>
    <w:p w14:paraId="6394DD72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C．全体公民尊法守法，遇事找法</w:t>
      </w:r>
      <w:r>
        <w:tab/>
      </w:r>
    </w:p>
    <w:p w14:paraId="7515E2A5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D．监察机关监督调查，惩治犯罪</w:t>
      </w:r>
    </w:p>
    <w:p w14:paraId="258C5EC9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10．2023年5月28日，C919执行首次商业载客飞行，在过去16年的“飞天路”中，全国22个省，1000多个单位，30多万人参与研制，C919取得成就得益于（　　）</w:t>
      </w:r>
    </w:p>
    <w:p w14:paraId="663FE185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A．始终坚持以科学技术发展为中心</w:t>
      </w:r>
      <w:r>
        <w:tab/>
      </w:r>
    </w:p>
    <w:p w14:paraId="4710576F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B．发挥集中力量办大事的制度优势</w:t>
      </w:r>
      <w:r>
        <w:tab/>
      </w:r>
    </w:p>
    <w:p w14:paraId="1403416E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C．高扬改革创新为核心的民族精神</w:t>
      </w:r>
      <w:r>
        <w:tab/>
      </w:r>
    </w:p>
    <w:p w14:paraId="77813FCC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D．不断完善劳动群众权益保障机制</w:t>
      </w:r>
    </w:p>
    <w:p w14:paraId="1C662FD6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11．粤港澳大湾区龙舟赛以龙舟文化为精神纽带，展示了粤港澳三地的“非遗”保护成果，促进了粤港澳大湾区的融合发展和文化交流，由此可见（　　）</w:t>
      </w:r>
    </w:p>
    <w:p w14:paraId="6BF92C84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龙舟文化集中体现了当代中国精神</w:t>
      </w:r>
    </w:p>
    <w:p w14:paraId="5AA5345F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龙舟文化源远流长，博大精深</w:t>
      </w:r>
    </w:p>
    <w:p w14:paraId="3807F525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龙舟比赛是促进文化传承的重要形式</w:t>
      </w:r>
    </w:p>
    <w:p w14:paraId="3EE85291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我们要全面继承和发展中华民族传统文化</w:t>
      </w:r>
    </w:p>
    <w:p w14:paraId="0DF9D331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Calibri" w:hAnsi="Times New Roman" w:hint="eastAsia"/>
          <w:sz w:val="21"/>
          <w:szCs w:val="21"/>
        </w:rPr>
        <w:t>①③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Calibri" w:hAnsi="Times New Roman" w:hint="eastAsia"/>
          <w:sz w:val="21"/>
          <w:szCs w:val="21"/>
        </w:rPr>
        <w:t>①④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Calibri" w:hAnsi="Times New Roman" w:hint="eastAsia"/>
          <w:sz w:val="21"/>
          <w:szCs w:val="21"/>
        </w:rPr>
        <w:t>②③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Calibri" w:hAnsi="Times New Roman" w:hint="eastAsia"/>
          <w:sz w:val="21"/>
          <w:szCs w:val="21"/>
        </w:rPr>
        <w:t>②④</w:t>
      </w:r>
    </w:p>
    <w:p w14:paraId="708F307C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12．如图是某居民业委会对居民幸福指数的调查数据，业委会根据调研数据督促物业进行整改，获得居民的好评，这说明了，调研居委会对居住满意度调查，民主管理（　　）</w:t>
      </w:r>
    </w:p>
    <w:p w14:paraId="32BB2EBD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能够了解居民的真实诉求</w:t>
      </w:r>
    </w:p>
    <w:p w14:paraId="1D0271A7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切实保障居民的各种权益</w:t>
      </w:r>
    </w:p>
    <w:p w14:paraId="0828DC87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彻底解决居民急难盼问题</w:t>
      </w:r>
    </w:p>
    <w:p w14:paraId="7ED529C9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调动人民自我管理的积极性</w:t>
      </w:r>
    </w:p>
    <w:p w14:paraId="6153652A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2172335" cy="236283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2578" cy="23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2C5E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Calibri" w:hAnsi="Times New Roman" w:hint="eastAsia"/>
          <w:sz w:val="21"/>
          <w:szCs w:val="21"/>
        </w:rPr>
        <w:t>①②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Calibri" w:hAnsi="Times New Roman" w:hint="eastAsia"/>
          <w:sz w:val="21"/>
          <w:szCs w:val="21"/>
        </w:rPr>
        <w:t>①④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Calibri" w:hAnsi="Times New Roman" w:hint="eastAsia"/>
          <w:sz w:val="21"/>
          <w:szCs w:val="21"/>
        </w:rPr>
        <w:t>②③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Calibri" w:hAnsi="Times New Roman" w:hint="eastAsia"/>
          <w:sz w:val="21"/>
          <w:szCs w:val="21"/>
        </w:rPr>
        <w:t>③④</w:t>
      </w:r>
    </w:p>
    <w:p w14:paraId="678D55A3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13．国家主席习近平同中亚五国元首共聚西安，共叙传统友谊，共谋未来发展，在各方共同努力下，中国同中亚五国签署了100余份合作协议。构建更加紧密的中国——中亚命运共同体，需要坚持（　　）</w:t>
      </w:r>
    </w:p>
    <w:p w14:paraId="215C49D0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团结互信，文化趋同</w:t>
      </w:r>
    </w:p>
    <w:p w14:paraId="0A0027AC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合作共赢，相互成就</w:t>
      </w:r>
    </w:p>
    <w:p w14:paraId="52EB233B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回避冲突，永沐和平</w:t>
      </w:r>
    </w:p>
    <w:p w14:paraId="6CA8FDA5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相知相亲，同心同德</w:t>
      </w:r>
    </w:p>
    <w:p w14:paraId="57A24143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Calibri" w:hAnsi="Times New Roman" w:hint="eastAsia"/>
          <w:sz w:val="21"/>
          <w:szCs w:val="21"/>
        </w:rPr>
        <w:t>①②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Calibri" w:hAnsi="Times New Roman" w:hint="eastAsia"/>
          <w:sz w:val="21"/>
          <w:szCs w:val="21"/>
        </w:rPr>
        <w:t>①④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Calibri" w:hAnsi="Times New Roman" w:hint="eastAsia"/>
          <w:sz w:val="21"/>
          <w:szCs w:val="21"/>
        </w:rPr>
        <w:t>②③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Calibri" w:hAnsi="Times New Roman" w:hint="eastAsia"/>
          <w:sz w:val="21"/>
          <w:szCs w:val="21"/>
        </w:rPr>
        <w:t>②④</w:t>
      </w:r>
    </w:p>
    <w:p w14:paraId="142B105D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14．党的二十大报告指出，必须坚持在发展中保障和改善民生，鼓励共同奋斗创造美好生活，实现人民对美好生活的向往。下列举措有利于实现人民对美好生活向往的合理传导路径的是（　　）</w:t>
      </w:r>
    </w:p>
    <w:p w14:paraId="023D2596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坚持社会主义市场经济体制→激发各类市场主体活力→满足人民美好生活需求</w:t>
      </w:r>
    </w:p>
    <w:p w14:paraId="72D7578F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增强人民的幸福感和获得感→加强社会保障体系建设→逐步实现发展的根本目的</w:t>
      </w:r>
    </w:p>
    <w:p w14:paraId="02D23176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走中国特色新型城镇化道路→进一步推动城乡一体化建设→维护社会公平正义</w:t>
      </w:r>
    </w:p>
    <w:p w14:paraId="6249B741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积极融入世界经济全球化进程→协调签订国际合作协议→主导全球化进程</w:t>
      </w:r>
    </w:p>
    <w:p w14:paraId="2A6335B6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Calibri" w:hAnsi="Times New Roman" w:hint="eastAsia"/>
          <w:sz w:val="21"/>
          <w:szCs w:val="21"/>
        </w:rPr>
        <w:t>①②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Calibri" w:hAnsi="Times New Roman" w:hint="eastAsia"/>
          <w:sz w:val="21"/>
          <w:szCs w:val="21"/>
        </w:rPr>
        <w:t>①③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Calibri" w:hAnsi="Times New Roman" w:hint="eastAsia"/>
          <w:sz w:val="21"/>
          <w:szCs w:val="21"/>
        </w:rPr>
        <w:t>②③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Calibri" w:hAnsi="Times New Roman" w:hint="eastAsia"/>
          <w:sz w:val="21"/>
          <w:szCs w:val="21"/>
        </w:rPr>
        <w:t>②④</w:t>
      </w:r>
    </w:p>
    <w:p w14:paraId="0CDA8E01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15．根据《深圳市2022年国民经济和社会发展统计公报》解读GDP变化水平，以下说法正确的是（　　）</w:t>
      </w:r>
    </w:p>
    <w:p w14:paraId="6EF17C5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4306570" cy="2534285"/>
            <wp:effectExtent l="0" t="0" r="0" b="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7040" cy="253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A261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我市经济增速逐步放缓</w:t>
      </w:r>
    </w:p>
    <w:p w14:paraId="2BB419A6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我市经济增长进入平稳增长期</w:t>
      </w:r>
    </w:p>
    <w:p w14:paraId="124E0122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城镇化发展差距不断扩大</w:t>
      </w:r>
    </w:p>
    <w:p w14:paraId="7B23EB9C"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经济高质量发展助力人民幸福生活</w:t>
      </w:r>
    </w:p>
    <w:p w14:paraId="59C4F9F3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Calibri" w:hAnsi="Times New Roman" w:hint="eastAsia"/>
          <w:sz w:val="21"/>
          <w:szCs w:val="21"/>
        </w:rPr>
        <w:t>①②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Calibri" w:hAnsi="Times New Roman" w:hint="eastAsia"/>
          <w:sz w:val="21"/>
          <w:szCs w:val="21"/>
        </w:rPr>
        <w:t>①④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Calibri" w:hAnsi="Times New Roman" w:hint="eastAsia"/>
          <w:sz w:val="21"/>
          <w:szCs w:val="21"/>
        </w:rPr>
        <w:t>②③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Calibri" w:hAnsi="Times New Roman" w:hint="eastAsia"/>
          <w:sz w:val="21"/>
          <w:szCs w:val="21"/>
        </w:rPr>
        <w:t>②④</w:t>
      </w:r>
    </w:p>
    <w:p w14:paraId="65A6C03C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二、分析说明题</w:t>
      </w:r>
    </w:p>
    <w:p w14:paraId="5761FB39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16．时移世易，事变法随。</w:t>
      </w:r>
    </w:p>
    <w:p w14:paraId="1A09CC88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材料一  天下大治，起于法治。欲达法治，立法先行。被誉为“管理法之法”的《中华人民共和国立法法》与时代同步，与改革同频，为建设中国特色社会主义现代化国家凝聚了强大的法治力量。</w:t>
      </w:r>
    </w:p>
    <w:p w14:paraId="63828664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（1）结合材料并运用所学知识，说明《中华人民共和国立法法》的修订过程体现了什么道理？</w:t>
      </w:r>
    </w:p>
    <w:p w14:paraId="431E0E73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材料二  人工智能技术的发展便利了我们的生活，同时也带来很多挑战。利用人工智能技术弄虚作假甚至违法犯罪的现象时有发生。</w:t>
      </w:r>
    </w:p>
    <w:p w14:paraId="3E2E7DF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小深：引导人工智能技术有序发展和利用，关键在科学立法。</w:t>
      </w:r>
    </w:p>
    <w:p w14:paraId="1BB0800A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小圳：引导人工智能技术有序发展和利用，关键在全民守法。</w:t>
      </w:r>
    </w:p>
    <w:p w14:paraId="20D52BCE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（2）结合材料并运用所学知识，对上述两位同学的观点进行评析。</w:t>
      </w:r>
    </w:p>
    <w:p w14:paraId="563ABE64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材料三  广东省某市的红色资源丰富，该市具有历史悠久的红色文化和革命传统，为保护红色基因，弘扬红色精神，该市出台《红色资源保护传承条例》，在红色资源的调查认定，保护名录，维护修缮等主要内容作了具体规定，利用民间文化艺术多样性的优势进行文艺创作，赓续红色血脉。</w:t>
      </w:r>
    </w:p>
    <w:p w14:paraId="4584E580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（3）结合材料并运用所学知识，说说该市政府通过法治力量“守护红色基因，赓续红色血脉”的原因。</w:t>
      </w:r>
    </w:p>
    <w:p w14:paraId="014CFF25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三、综合探究题</w:t>
      </w:r>
    </w:p>
    <w:p w14:paraId="0870D4C1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17．高质量发展是全面建设社会主义现代化国家的首要任务。</w:t>
      </w:r>
    </w:p>
    <w:p w14:paraId="42C9FE25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中国式现代化深圳答卷为深圳响应“高质量发展”国家政策的重要体现。</w:t>
      </w:r>
    </w:p>
    <w:p w14:paraId="56FCF7E9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答卷一深圳政府简政放权，优化服务，深化要素市场化改革，构建高水平市场经济体系，GDP提升迅速，成为全球最有“活力”城市之一。</w:t>
      </w:r>
    </w:p>
    <w:p w14:paraId="051684EB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答卷二近年来，深圳不断加大教育投入，持续优化高等教育发展环境，形成充满活力的竞争激励机制。高水平大学建设连获重要突破，综合实力和竞争力显著提升。</w:t>
      </w:r>
    </w:p>
    <w:p w14:paraId="064B4489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卷三在深圳不到2000平方公里的土地上，分布着大大小小1090个各类公园，它们就像一张绿色的网，串联起深圳丰富多样的自然生态资源，使市民既能推窗见绿、开门见园，又能徒步山林、漫步郊野，“千园之城”成为深圳一道靓丽的名片。</w:t>
      </w:r>
    </w:p>
    <w:p w14:paraId="0964E796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卷四深圳始终以“感恩改革开放，回报全国人民”的特区担当，服务全国乡村振兴战略大局。助力76个重点镇、120个村全面振兴，积极推进巩固脱贫攻坚成果与全面推进乡村振兴有效衔接。全面做好乡村振兴、帮扶协作、对口合作等工作.实施帮扶项目427个，投入财政资金50.4亿元。</w:t>
      </w:r>
    </w:p>
    <w:p w14:paraId="71244F3D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（1）结合材料并运用所学知识，任意选举其中两个答卷，说明深圳市政府是如何先行先试，如何探索中国式现代化新路径？</w:t>
      </w:r>
    </w:p>
    <w:p w14:paraId="30353821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【大国重器深圳上新】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</w:tblPr>
      <w:tblGrid>
        <w:gridCol w:w="4000"/>
        <w:gridCol w:w="4000"/>
      </w:tblGrid>
      <w:tr w14:paraId="7D795205">
        <w:tblPrEx>
          <w:tblW w:w="0" w:type="auto"/>
          <w:tblInd w:w="280" w:type="dxa"/>
        </w:tblPrEx>
        <w:tc>
          <w:tcPr>
            <w:tcW w:w="4000" w:type="dxa"/>
          </w:tcPr>
          <w:p w14:paraId="6FA88FFA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 xml:space="preserve">        </w:t>
            </w:r>
            <w:r>
              <w:rPr>
                <w:rFonts w:ascii="Times New Roman" w:eastAsia="新宋体" w:hAnsi="Times New Roman" w:hint="eastAsia"/>
                <w:sz w:val="21"/>
                <w:szCs w:val="21"/>
              </w:rPr>
              <w:drawing>
                <wp:inline distT="0" distB="0" distL="0" distR="0">
                  <wp:extent cx="1543050" cy="1038225"/>
                  <wp:effectExtent l="0" t="0" r="0" b="0"/>
                  <wp:docPr id="3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74" cy="103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新宋体" w:hAnsi="Times New Roman" w:hint="eastAsia"/>
                <w:sz w:val="21"/>
                <w:szCs w:val="21"/>
              </w:rPr>
              <w:t xml:space="preserve">      </w:t>
            </w:r>
          </w:p>
        </w:tc>
        <w:tc>
          <w:tcPr>
            <w:tcW w:w="4000" w:type="dxa"/>
          </w:tcPr>
          <w:p w14:paraId="50DCED0E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 w:val="21"/>
                <w:szCs w:val="21"/>
              </w:rPr>
              <w:t>太行110重型燃气轮机在深圳成功通过产品验证鉴定，这标志着我国重型燃气轮机攻克“卡脖子”难题，走完全自主研制全过程。“太行110”历经20年炼成装备制造业“皇冠上的明珠”，聚集了几代研发者的心血与付出，集合了国内航空、机械、石油、电力等行业力量，获得了102项国际专利，成果来之不易，过程何其艰辛，整个过程犹如一场接力跑！</w:t>
            </w:r>
          </w:p>
        </w:tc>
      </w:tr>
    </w:tbl>
    <w:p w14:paraId="2A257214"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（2）“民族振兴，强国有我”，请你以“奋斗”、“中国式现代化”为关键词，为“太行110”重型燃气轮机的研制者们写一份致敬词。（80﹣120字）</w:t>
      </w:r>
    </w:p>
    <w:p w14:paraId="48AF3650">
      <w:pPr>
        <w:widowControl/>
        <w:spacing w:line="360" w:lineRule="auto"/>
        <w:jc w:val="left"/>
      </w:pPr>
      <w:bookmarkStart w:id="0" w:name="_GoBack"/>
      <w:bookmarkEnd w:id="0"/>
    </w:p>
    <w:sectPr>
      <w:pgSz w:w="11906" w:h="16838"/>
      <w:pgMar w:top="1418" w:right="1134" w:bottom="1418" w:left="1134" w:header="851" w:footer="992" w:gutter="0"/>
      <w:pgNumType w:chapStyle="5" w:chapSep="colon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9DF"/>
    <w:rsid w:val="0024353C"/>
    <w:rsid w:val="004E5AE9"/>
    <w:rsid w:val="005A281C"/>
    <w:rsid w:val="009A52EA"/>
    <w:rsid w:val="00AC09DF"/>
    <w:rsid w:val="00C52DED"/>
    <w:rsid w:val="00CB4B8A"/>
    <w:rsid w:val="0F125E88"/>
    <w:rsid w:val="0F2F81E4"/>
    <w:rsid w:val="0F3BC98E"/>
    <w:rsid w:val="0F47BD91"/>
    <w:rsid w:val="0F525337"/>
    <w:rsid w:val="0F657133"/>
    <w:rsid w:val="0F75824B"/>
    <w:rsid w:val="0F8C8CBB"/>
    <w:rsid w:val="0F8D11BE"/>
    <w:rsid w:val="0F8D3C9F"/>
    <w:rsid w:val="0F8D6703"/>
    <w:rsid w:val="0F8D793F"/>
    <w:rsid w:val="0F8DA5B4"/>
    <w:rsid w:val="149E78E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3"/>
    <w:uiPriority w:val="99"/>
    <w:semiHidden/>
    <w:unhideWhenUsed/>
    <w:pPr>
      <w:ind w:left="100" w:leftChars="2500"/>
    </w:pPr>
  </w:style>
  <w:style w:type="paragraph" w:styleId="BalloonText">
    <w:name w:val="Balloon Text"/>
    <w:basedOn w:val="Normal"/>
    <w:link w:val="Char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customStyle="1" w:styleId="Char">
    <w:name w:val="页眉 Char"/>
    <w:basedOn w:val="DefaultParagraphFont"/>
    <w:link w:val="Header"/>
    <w:uiPriority w:val="99"/>
    <w:semiHidden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customStyle="1" w:styleId="BorderColor02AF6C0F">
    <w:name w:val="Border Color 02AF6C0F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2"/>
    <w:uiPriority w:val="1"/>
    <w:qFormat/>
    <w:rPr>
      <w:rFonts w:asciiTheme="minorHAnsi" w:eastAsiaTheme="minorEastAsia" w:hAnsiTheme="minorHAnsi" w:cstheme="minorBidi"/>
      <w:kern w:val="0"/>
      <w:sz w:val="22"/>
      <w:szCs w:val="22"/>
      <w:lang w:val="en-US" w:eastAsia="zh-CN" w:bidi="ar-SA"/>
    </w:rPr>
  </w:style>
  <w:style w:type="character" w:customStyle="1" w:styleId="Char2">
    <w:name w:val="无间隔 Char"/>
    <w:basedOn w:val="DefaultParagraphFont"/>
    <w:link w:val="NoSpacing"/>
    <w:uiPriority w:val="1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Char3">
    <w:name w:val="日期 Char"/>
    <w:basedOn w:val="DefaultParagraphFont"/>
    <w:link w:val="Date"/>
    <w:uiPriority w:val="99"/>
    <w:semiHidden/>
  </w:style>
  <w:style w:type="paragraph" w:customStyle="1" w:styleId="Style17">
    <w:name w:val="_Style 17"/>
    <w:rPr>
      <w:rFonts w:ascii="Times New Roman" w:eastAsiaTheme="minorEastAsia" w:hAnsiTheme="minorHAnsi" w:cstheme="minorBidi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