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b/>
          <w:color w:val="087F6A"/>
          <w:sz w:val="18"/>
        </w:rPr>
        <w:t>LIVE PUBLIC-RECORD RESEARCH WORKSPACE</w:t>
      </w:r>
    </w:p>
    <w:p>
      <w:pPr>
        <w:pStyle w:val="Title"/>
        <w:spacing w:after="160"/>
      </w:pPr>
      <w:r>
        <w:rPr>
          <w:color w:val="071522"/>
          <w:sz w:val="68"/>
        </w:rPr>
        <w:t>David Leads</w:t>
      </w:r>
    </w:p>
    <w:p>
      <w:pPr>
        <w:spacing w:after="440"/>
      </w:pPr>
      <w:r>
        <w:rPr>
          <w:b/>
          <w:color w:val="2E74B5"/>
          <w:sz w:val="44"/>
        </w:rPr>
        <w:t>Broker Field Guide</w:t>
      </w:r>
    </w:p>
    <w:tbl>
      <w:tblPr>
        <w:tblW w:type="auto" w:w="0"/>
        <w:tblLayout w:type="fixed"/>
        <w:tblLook w:firstColumn="1" w:firstRow="1" w:lastColumn="0" w:lastRow="0" w:noHBand="0" w:noVBand="1" w:val="04A0"/>
      </w:tblPr>
      <w:tblGrid>
        <w:gridCol w:w="9360"/>
      </w:tblGrid>
      <w:tr>
        <w:tc>
          <w:tcPr>
            <w:tcW w:type="dxa" w:w="9360"/>
            <w:shd w:fill="071522"/>
            <w:tcMar>
              <w:top w:w="330" w:type="dxa"/>
              <w:start w:w="360" w:type="dxa"/>
              <w:bottom w:w="330" w:type="dxa"/>
              <w:end w:w="360" w:type="dxa"/>
            </w:tcMar>
          </w:tcPr>
          <w:p>
            <w:pPr>
              <w:spacing w:after="160"/>
            </w:pPr>
            <w:r>
              <w:rPr>
                <w:b/>
                <w:color w:val="FFFFFF"/>
                <w:sz w:val="48"/>
              </w:rPr>
              <w:t>Know who changed.</w:t>
              <w:br/>
              <w:t>Know why now.</w:t>
            </w:r>
          </w:p>
          <w:p>
            <w:pPr>
              <w:spacing w:after="0"/>
            </w:pPr>
            <w:r>
              <w:rPr>
                <w:color w:val="DFF6FF"/>
                <w:sz w:val="22"/>
              </w:rPr>
              <w:t>Use verified organization signals to decide what to research first—then confirm the facts and clear outreach before contacting anyone.</w:t>
            </w:r>
          </w:p>
        </w:tc>
        <w:trPr>
          <w:tblHeader/>
        </w:trPr>
      </w:tr>
    </w:tbl>
    <w:p>
      <w:pPr>
        <w:spacing w:before="400" w:after="40"/>
      </w:pPr>
      <w:r>
        <w:rPr>
          <w:b/>
          <w:color w:val="162433"/>
          <w:sz w:val="24"/>
        </w:rPr>
        <w:t>Prepared for David Abraham</w:t>
      </w:r>
    </w:p>
    <w:p>
      <w:pPr>
        <w:spacing w:after="360"/>
      </w:pPr>
      <w:r>
        <w:rPr>
          <w:color w:val="445568"/>
          <w:sz w:val="20"/>
        </w:rPr>
        <w:t>Meeting edition · August 26, 2026</w:t>
      </w:r>
    </w:p>
    <w:tbl>
      <w:tblPr>
        <w:tblW w:type="auto" w:w="0"/>
        <w:tblLayout w:type="fixed"/>
        <w:tblLook w:firstColumn="1" w:firstRow="1" w:lastColumn="0" w:lastRow="0" w:noHBand="0" w:noVBand="1" w:val="04A0"/>
      </w:tblPr>
      <w:tblGrid>
        <w:gridCol w:w="9360"/>
      </w:tblGrid>
      <w:tr>
        <w:tc>
          <w:tcPr>
            <w:tcW w:type="dxa" w:w="9360"/>
            <w:vAlign w:val="center"/>
            <w:shd w:fill="E7FBF5"/>
            <w:tcMar>
              <w:top w:w="170" w:type="dxa"/>
              <w:start w:w="220" w:type="dxa"/>
              <w:bottom w:w="170" w:type="dxa"/>
              <w:end w:w="220" w:type="dxa"/>
            </w:tcMar>
            <w:tcBorders>
              <w:start w:val="single" w:sz="28" w:color="087F6A"/>
            </w:tcBorders>
          </w:tcPr>
          <w:p>
            <w:pPr>
              <w:spacing w:after="40"/>
            </w:pPr>
            <w:r>
              <w:rPr>
                <w:b/>
                <w:color w:val="087F6A"/>
                <w:sz w:val="16"/>
              </w:rPr>
              <w:t>ACCESS</w:t>
            </w:r>
          </w:p>
          <w:p>
            <w:pPr>
              <w:spacing w:after="0"/>
            </w:pPr>
            <w:r>
              <w:rPr>
                <w:color w:val="162433"/>
                <w:sz w:val="21"/>
              </w:rPr>
              <w:t>No username, password, or access key is required to view the public research workspace. Private broker actions remain protected.</w:t>
            </w:r>
          </w:p>
        </w:tc>
        <w:trPr>
          <w:tblHeader/>
        </w:trPr>
      </w:tr>
    </w:tbl>
    <w:p>
      <w:pPr>
        <w:spacing w:after="0"/>
      </w:pPr>
    </w:p>
    <w:p>
      <w:pPr>
        <w:spacing w:before="160"/>
        <w:jc w:val="center"/>
      </w:pPr>
      <w:hyperlink r:id="rId11">
        <w:r>
          <w:rPr>
            <w:color w:val="2E74B5"/>
            <w:u w:val="single"/>
          </w:rPr>
          <w:t>Open David Leads</w:t>
        </w:r>
      </w:hyperlink>
    </w:p>
    <w:p>
      <w:r>
        <w:br w:type="page"/>
      </w:r>
    </w:p>
    <w:p>
      <w:pPr>
        <w:pStyle w:val="Heading1"/>
      </w:pPr>
      <w:r>
        <w:t>Open it in 30 seconds</w:t>
      </w:r>
    </w:p>
    <w:p>
      <w:r>
        <w:rPr>
          <w:b/>
        </w:rPr>
        <w:t xml:space="preserve">Application: </w:t>
      </w:r>
      <w:hyperlink r:id="rId11">
        <w:r>
          <w:rPr>
            <w:color w:val="2E74B5"/>
            <w:u w:val="single"/>
          </w:rPr>
          <w:t>David Leads public workspace</w:t>
        </w:r>
      </w:hyperlink>
    </w:p>
    <w:tbl>
      <w:tblPr>
        <w:tblW w:type="auto" w:w="0"/>
        <w:tblLayout w:type="fixed"/>
        <w:tblLook w:firstColumn="1" w:firstRow="1" w:lastColumn="0" w:lastRow="0" w:noHBand="0" w:noVBand="1" w:val="04A0"/>
      </w:tblPr>
      <w:tblGrid>
        <w:gridCol w:w="720"/>
        <w:gridCol w:w="8640"/>
      </w:tblGrid>
      <w:tr>
        <w:tc>
          <w:tcPr>
            <w:tcW w:type="dxa" w:w="720"/>
            <w:tcMar>
              <w:top w:w="80" w:type="dxa"/>
              <w:start w:w="80" w:type="dxa"/>
              <w:bottom w:w="80" w:type="dxa"/>
              <w:end w:w="80" w:type="dxa"/>
            </w:tcMar>
            <w:tcBorders>
              <w:bottom w:val="single" w:sz="4" w:color="CAD8E3"/>
            </w:tcBorders>
            <w:vAlign w:val="center"/>
            <w:shd w:fill="071522"/>
          </w:tcPr>
          <w:p>
            <w:pPr>
              <w:spacing w:after="0"/>
              <w:jc w:val="center"/>
            </w:pPr>
            <w:r>
              <w:rPr>
                <w:b/>
                <w:color w:val="FFFFFF"/>
                <w:sz w:val="24"/>
              </w:rPr>
              <w:t>1</w:t>
            </w:r>
          </w:p>
        </w:tc>
        <w:tc>
          <w:tcPr>
            <w:tcW w:type="dxa" w:w="8640"/>
            <w:tcMar>
              <w:top w:w="80" w:type="dxa"/>
              <w:start w:w="80" w:type="dxa"/>
              <w:bottom w:w="80" w:type="dxa"/>
              <w:end w:w="80" w:type="dxa"/>
            </w:tcMar>
            <w:tcBorders>
              <w:bottom w:val="single" w:sz="4" w:color="CAD8E3"/>
            </w:tcBorders>
            <w:vAlign w:val="center"/>
          </w:tcPr>
          <w:p>
            <w:pPr>
              <w:spacing w:after="40"/>
            </w:pPr>
            <w:r>
              <w:rPr>
                <w:b/>
                <w:color w:val="162433"/>
                <w:sz w:val="21"/>
              </w:rPr>
              <w:t>Open the link</w:t>
            </w:r>
          </w:p>
          <w:p>
            <w:pPr>
              <w:spacing w:after="0" w:line="276" w:lineRule="auto"/>
            </w:pPr>
            <w:r>
              <w:rPr>
                <w:color w:val="445568"/>
                <w:sz w:val="19"/>
              </w:rPr>
              <w:t>The public broker view opens directly. There is no sign-in screen for research access.</w:t>
            </w:r>
          </w:p>
        </w:tc>
        <w:trPr>
          <w:tblHeader/>
        </w:trPr>
      </w:tr>
    </w:tbl>
    <w:tbl>
      <w:tblPr>
        <w:tblW w:type="auto" w:w="0"/>
        <w:tblLayout w:type="fixed"/>
        <w:tblLook w:firstColumn="1" w:firstRow="1" w:lastColumn="0" w:lastRow="0" w:noHBand="0" w:noVBand="1" w:val="04A0"/>
      </w:tblPr>
      <w:tblGrid>
        <w:gridCol w:w="720"/>
        <w:gridCol w:w="8640"/>
      </w:tblGrid>
      <w:tr>
        <w:tc>
          <w:tcPr>
            <w:tcW w:type="dxa" w:w="720"/>
            <w:tcMar>
              <w:top w:w="80" w:type="dxa"/>
              <w:start w:w="80" w:type="dxa"/>
              <w:bottom w:w="80" w:type="dxa"/>
              <w:end w:w="80" w:type="dxa"/>
            </w:tcMar>
            <w:tcBorders>
              <w:bottom w:val="single" w:sz="4" w:color="CAD8E3"/>
            </w:tcBorders>
            <w:vAlign w:val="center"/>
            <w:shd w:fill="071522"/>
          </w:tcPr>
          <w:p>
            <w:pPr>
              <w:spacing w:after="0"/>
              <w:jc w:val="center"/>
            </w:pPr>
            <w:r>
              <w:rPr>
                <w:b/>
                <w:color w:val="FFFFFF"/>
                <w:sz w:val="24"/>
              </w:rPr>
              <w:t>2</w:t>
            </w:r>
          </w:p>
        </w:tc>
        <w:tc>
          <w:tcPr>
            <w:tcW w:type="dxa" w:w="8640"/>
            <w:tcMar>
              <w:top w:w="80" w:type="dxa"/>
              <w:start w:w="80" w:type="dxa"/>
              <w:bottom w:w="80" w:type="dxa"/>
              <w:end w:w="80" w:type="dxa"/>
            </w:tcMar>
            <w:tcBorders>
              <w:bottom w:val="single" w:sz="4" w:color="CAD8E3"/>
            </w:tcBorders>
            <w:vAlign w:val="center"/>
          </w:tcPr>
          <w:p>
            <w:pPr>
              <w:spacing w:after="40"/>
            </w:pPr>
            <w:r>
              <w:rPr>
                <w:b/>
                <w:color w:val="162433"/>
                <w:sz w:val="21"/>
              </w:rPr>
              <w:t>Check the status line</w:t>
            </w:r>
          </w:p>
          <w:p>
            <w:pPr>
              <w:spacing w:after="0" w:line="276" w:lineRule="auto"/>
            </w:pPr>
            <w:r>
              <w:rPr>
                <w:color w:val="445568"/>
                <w:sz w:val="19"/>
              </w:rPr>
              <w:t>Look for a live-source count. A source that is unavailable stays visible as unavailable; it is not replaced with a sample lead.</w:t>
            </w:r>
          </w:p>
        </w:tc>
        <w:trPr>
          <w:tblHeader/>
        </w:trPr>
      </w:tr>
    </w:tbl>
    <w:tbl>
      <w:tblPr>
        <w:tblW w:type="auto" w:w="0"/>
        <w:tblLayout w:type="fixed"/>
        <w:tblLook w:firstColumn="1" w:firstRow="1" w:lastColumn="0" w:lastRow="0" w:noHBand="0" w:noVBand="1" w:val="04A0"/>
      </w:tblPr>
      <w:tblGrid>
        <w:gridCol w:w="720"/>
        <w:gridCol w:w="8640"/>
      </w:tblGrid>
      <w:tr>
        <w:tc>
          <w:tcPr>
            <w:tcW w:type="dxa" w:w="720"/>
            <w:tcMar>
              <w:top w:w="80" w:type="dxa"/>
              <w:start w:w="80" w:type="dxa"/>
              <w:bottom w:w="80" w:type="dxa"/>
              <w:end w:w="80" w:type="dxa"/>
            </w:tcMar>
            <w:tcBorders>
              <w:bottom w:val="single" w:sz="4" w:color="CAD8E3"/>
            </w:tcBorders>
            <w:vAlign w:val="center"/>
            <w:shd w:fill="071522"/>
          </w:tcPr>
          <w:p>
            <w:pPr>
              <w:spacing w:after="0"/>
              <w:jc w:val="center"/>
            </w:pPr>
            <w:r>
              <w:rPr>
                <w:b/>
                <w:color w:val="FFFFFF"/>
                <w:sz w:val="24"/>
              </w:rPr>
              <w:t>3</w:t>
            </w:r>
          </w:p>
        </w:tc>
        <w:tc>
          <w:tcPr>
            <w:tcW w:type="dxa" w:w="8640"/>
            <w:tcMar>
              <w:top w:w="80" w:type="dxa"/>
              <w:start w:w="80" w:type="dxa"/>
              <w:bottom w:w="80" w:type="dxa"/>
              <w:end w:w="80" w:type="dxa"/>
            </w:tcMar>
            <w:tcBorders>
              <w:bottom w:val="single" w:sz="4" w:color="CAD8E3"/>
            </w:tcBorders>
            <w:vAlign w:val="center"/>
          </w:tcPr>
          <w:p>
            <w:pPr>
              <w:spacing w:after="40"/>
            </w:pPr>
            <w:r>
              <w:rPr>
                <w:b/>
                <w:color w:val="162433"/>
                <w:sz w:val="21"/>
              </w:rPr>
              <w:t>Choose a territory</w:t>
            </w:r>
          </w:p>
          <w:p>
            <w:pPr>
              <w:spacing w:after="0" w:line="276" w:lineRule="auto"/>
            </w:pPr>
            <w:r>
              <w:rPr>
                <w:color w:val="445568"/>
                <w:sz w:val="19"/>
              </w:rPr>
              <w:t>Select All East, a region, or one state. The state selector uses full names so it works quickly on desktop and mobile.</w:t>
            </w:r>
          </w:p>
        </w:tc>
        <w:trPr>
          <w:tblHeader/>
        </w:trPr>
      </w:tr>
    </w:tbl>
    <w:tbl>
      <w:tblPr>
        <w:tblW w:type="auto" w:w="0"/>
        <w:tblLayout w:type="fixed"/>
        <w:tblLook w:firstColumn="1" w:firstRow="1" w:lastColumn="0" w:lastRow="0" w:noHBand="0" w:noVBand="1" w:val="04A0"/>
      </w:tblPr>
      <w:tblGrid>
        <w:gridCol w:w="720"/>
        <w:gridCol w:w="8640"/>
      </w:tblGrid>
      <w:tr>
        <w:tc>
          <w:tcPr>
            <w:tcW w:type="dxa" w:w="720"/>
            <w:tcMar>
              <w:top w:w="80" w:type="dxa"/>
              <w:start w:w="80" w:type="dxa"/>
              <w:bottom w:w="80" w:type="dxa"/>
              <w:end w:w="80" w:type="dxa"/>
            </w:tcMar>
            <w:tcBorders>
              <w:bottom w:val="single" w:sz="4" w:color="CAD8E3"/>
            </w:tcBorders>
            <w:vAlign w:val="center"/>
            <w:shd w:fill="071522"/>
          </w:tcPr>
          <w:p>
            <w:pPr>
              <w:spacing w:after="0"/>
              <w:jc w:val="center"/>
            </w:pPr>
            <w:r>
              <w:rPr>
                <w:b/>
                <w:color w:val="FFFFFF"/>
                <w:sz w:val="24"/>
              </w:rPr>
              <w:t>4</w:t>
            </w:r>
          </w:p>
        </w:tc>
        <w:tc>
          <w:tcPr>
            <w:tcW w:type="dxa" w:w="8640"/>
            <w:tcMar>
              <w:top w:w="80" w:type="dxa"/>
              <w:start w:w="80" w:type="dxa"/>
              <w:bottom w:w="80" w:type="dxa"/>
              <w:end w:w="80" w:type="dxa"/>
            </w:tcMar>
            <w:tcBorders>
              <w:bottom w:val="single" w:sz="4" w:color="CAD8E3"/>
            </w:tcBorders>
            <w:vAlign w:val="center"/>
          </w:tcPr>
          <w:p>
            <w:pPr>
              <w:spacing w:after="40"/>
            </w:pPr>
            <w:r>
              <w:rPr>
                <w:b/>
                <w:color w:val="162433"/>
                <w:sz w:val="21"/>
              </w:rPr>
              <w:t>Open one account</w:t>
            </w:r>
          </w:p>
          <w:p>
            <w:pPr>
              <w:spacing w:after="0" w:line="276" w:lineRule="auto"/>
            </w:pPr>
            <w:r>
              <w:rPr>
                <w:color w:val="445568"/>
                <w:sz w:val="19"/>
              </w:rPr>
              <w:t>Read the verified signal, timing, likely fit, source, limitations, and next action before deciding whether it deserves deeper research.</w:t>
            </w:r>
          </w:p>
        </w:tc>
        <w:trPr>
          <w:tblHeader/>
        </w:trPr>
      </w:tr>
    </w:tbl>
    <w:tbl>
      <w:tblPr>
        <w:tblW w:type="auto" w:w="0"/>
        <w:tblLayout w:type="fixed"/>
        <w:tblLook w:firstColumn="1" w:firstRow="1" w:lastColumn="0" w:lastRow="0" w:noHBand="0" w:noVBand="1" w:val="04A0"/>
      </w:tblPr>
      <w:tblGrid>
        <w:gridCol w:w="9360"/>
      </w:tblGrid>
      <w:tr>
        <w:tc>
          <w:tcPr>
            <w:tcW w:type="dxa" w:w="9360"/>
            <w:vAlign w:val="center"/>
            <w:shd w:fill="DFF6FF"/>
            <w:tcMar>
              <w:top w:w="170" w:type="dxa"/>
              <w:start w:w="220" w:type="dxa"/>
              <w:bottom w:w="170" w:type="dxa"/>
              <w:end w:w="220" w:type="dxa"/>
            </w:tcMar>
            <w:tcBorders>
              <w:start w:val="single" w:sz="28" w:color="2E74B5"/>
            </w:tcBorders>
          </w:tcPr>
          <w:p>
            <w:pPr>
              <w:spacing w:after="40"/>
            </w:pPr>
            <w:r>
              <w:rPr>
                <w:b/>
                <w:color w:val="2E74B5"/>
                <w:sz w:val="16"/>
              </w:rPr>
              <w:t>WHAT THIS IS</w:t>
            </w:r>
          </w:p>
          <w:p>
            <w:pPr>
              <w:spacing w:after="0"/>
            </w:pPr>
            <w:r>
              <w:rPr>
                <w:color w:val="162433"/>
                <w:sz w:val="21"/>
              </w:rPr>
              <w:t>A research queue built from official organization-level records. It helps David prioritize verification. It is not a purchased contact list and it does not grant permission to call or email.</w:t>
            </w:r>
          </w:p>
        </w:tc>
        <w:trPr>
          <w:tblHeader/>
        </w:trPr>
      </w:tr>
    </w:tbl>
    <w:p>
      <w:pPr>
        <w:spacing w:after="0"/>
      </w:pPr>
    </w:p>
    <w:p>
      <w:pPr>
        <w:pStyle w:val="Heading1"/>
      </w:pPr>
      <w:r>
        <w:t>The daily 10-minute workflow</w:t>
      </w:r>
    </w:p>
    <w:p>
      <w:pPr>
        <w:pStyle w:val="Heading2"/>
      </w:pPr>
      <w:r>
        <w:t>1. Choose where to work</w:t>
      </w:r>
    </w:p>
    <w:p>
      <w:r>
        <w:t>Start with one state for the sharpest list, or use a region to compare markets.</w:t>
      </w:r>
    </w:p>
    <w:p>
      <w:pPr>
        <w:pStyle w:val="Heading2"/>
      </w:pPr>
      <w:r>
        <w:t>2. Read the broker brief</w:t>
      </w:r>
    </w:p>
    <w:p>
      <w:r>
        <w:t>The brief summarizes the strongest timing pattern in the current official-source pull.</w:t>
      </w:r>
    </w:p>
    <w:p>
      <w:pPr>
        <w:pStyle w:val="Heading2"/>
      </w:pPr>
      <w:r>
        <w:t>3. Filter by the reason to act</w:t>
      </w:r>
    </w:p>
    <w:p>
      <w:r>
        <w:t>Use the deal-moment filters: life-plan timing, growth and awards, operational change, or needs research.</w:t>
      </w:r>
    </w:p>
    <w:p>
      <w:pPr>
        <w:pStyle w:val="Heading2"/>
      </w:pPr>
      <w:r>
        <w:t>4. Inspect the evidence</w:t>
      </w:r>
    </w:p>
    <w:p>
      <w:r>
        <w:t>Open the account drawer and follow the official-source link. Confirm the organization and the reported event.</w:t>
      </w:r>
    </w:p>
    <w:p>
      <w:pPr>
        <w:pStyle w:val="Heading2"/>
      </w:pPr>
      <w:r>
        <w:t>5. Qualify the fit</w:t>
      </w:r>
    </w:p>
    <w:p>
      <w:r>
        <w:t>Use the organization’s own website to understand operations and locate a business-published channel.</w:t>
      </w:r>
    </w:p>
    <w:p>
      <w:pPr>
        <w:pStyle w:val="Heading2"/>
      </w:pPr>
      <w:r>
        <w:t>6. Clear outreach</w:t>
      </w:r>
    </w:p>
    <w:p>
      <w:r>
        <w:t>Before a call or email, complete licensing, suppression, state-rule, purpose, and channel checks in the protected workflow.</w:t>
      </w:r>
    </w:p>
    <w:p>
      <w:pPr>
        <w:pStyle w:val="Heading2"/>
      </w:pPr>
      <w:r>
        <w:t>7. Record the real outcome</w:t>
      </w:r>
    </w:p>
    <w:p>
      <w:r>
        <w:t>Keep factual notes, disposition, and any do-not-contact request in the protected broker system—not in the public screen.</w:t>
      </w:r>
    </w:p>
    <w:p>
      <w:pPr>
        <w:pStyle w:val="Heading1"/>
      </w:pPr>
      <w:r>
        <w:t>What each screen is for</w:t>
      </w:r>
    </w:p>
    <w:tbl>
      <w:tblPr>
        <w:tblW w:type="auto" w:w="0"/>
        <w:tblLayout w:type="fixed"/>
        <w:tblLook w:firstColumn="1" w:firstRow="1" w:lastColumn="0" w:lastRow="0" w:noHBand="0" w:noVBand="1" w:val="04A0"/>
      </w:tblPr>
      <w:tblGrid>
        <w:gridCol w:w="3120"/>
        <w:gridCol w:w="3120"/>
        <w:gridCol w:w="3120"/>
      </w:tblGrid>
      <w:tr>
        <w:trPr>
          <w:tblHeader w:val="true"/>
        </w:trPr>
        <w:tc>
          <w:tcPr>
            <w:tcW w:type="dxa" w:w="1800"/>
            <w:shd w:fill="071522"/>
            <w:tcMar>
              <w:top w:w="130" w:type="dxa"/>
              <w:start w:w="120" w:type="dxa"/>
              <w:bottom w:w="130" w:type="dxa"/>
              <w:end w:w="120" w:type="dxa"/>
            </w:tcMar>
          </w:tcPr>
          <w:p>
            <w:pPr>
              <w:spacing w:after="0"/>
            </w:pPr>
            <w:r>
              <w:rPr>
                <w:b/>
                <w:color w:val="FFFFFF"/>
                <w:sz w:val="18"/>
              </w:rPr>
              <w:t>Screen</w:t>
            </w:r>
          </w:p>
        </w:tc>
        <w:tc>
          <w:tcPr>
            <w:tcW w:type="dxa" w:w="3240"/>
            <w:shd w:fill="071522"/>
            <w:tcMar>
              <w:top w:w="130" w:type="dxa"/>
              <w:start w:w="120" w:type="dxa"/>
              <w:bottom w:w="130" w:type="dxa"/>
              <w:end w:w="120" w:type="dxa"/>
            </w:tcMar>
          </w:tcPr>
          <w:p>
            <w:pPr>
              <w:spacing w:after="0"/>
            </w:pPr>
            <w:r>
              <w:rPr>
                <w:b/>
                <w:color w:val="FFFFFF"/>
                <w:sz w:val="18"/>
              </w:rPr>
              <w:t>Question it answers</w:t>
            </w:r>
          </w:p>
        </w:tc>
        <w:tc>
          <w:tcPr>
            <w:tcW w:type="dxa" w:w="4320"/>
            <w:shd w:fill="071522"/>
            <w:tcMar>
              <w:top w:w="130" w:type="dxa"/>
              <w:start w:w="120" w:type="dxa"/>
              <w:bottom w:w="130" w:type="dxa"/>
              <w:end w:w="120" w:type="dxa"/>
            </w:tcMar>
          </w:tcPr>
          <w:p>
            <w:pPr>
              <w:spacing w:after="0"/>
            </w:pPr>
            <w:r>
              <w:rPr>
                <w:b/>
                <w:color w:val="FFFFFF"/>
                <w:sz w:val="18"/>
              </w:rPr>
              <w:t>Use it when</w:t>
            </w:r>
          </w:p>
        </w:tc>
      </w:tr>
      <w:tr>
        <w:tc>
          <w:tcPr>
            <w:tcW w:type="dxa" w:w="1800"/>
            <w:tcMar>
              <w:top w:w="130" w:type="dxa"/>
              <w:start w:w="120" w:type="dxa"/>
              <w:bottom w:w="130" w:type="dxa"/>
              <w:end w:w="120" w:type="dxa"/>
            </w:tcMar>
            <w:tcBorders>
              <w:bottom w:val="single" w:sz="4" w:color="CAD8E3"/>
            </w:tcBorders>
          </w:tcPr>
          <w:p>
            <w:pPr>
              <w:spacing w:after="0"/>
            </w:pPr>
            <w:r>
              <w:rPr>
                <w:color w:val="162433"/>
                <w:sz w:val="18"/>
              </w:rPr>
              <w:t>Broker view</w:t>
            </w:r>
          </w:p>
        </w:tc>
        <w:tc>
          <w:tcPr>
            <w:tcW w:type="dxa" w:w="3240"/>
            <w:tcMar>
              <w:top w:w="130" w:type="dxa"/>
              <w:start w:w="120" w:type="dxa"/>
              <w:bottom w:w="130" w:type="dxa"/>
              <w:end w:w="120" w:type="dxa"/>
            </w:tcMar>
            <w:tcBorders>
              <w:bottom w:val="single" w:sz="4" w:color="CAD8E3"/>
            </w:tcBorders>
          </w:tcPr>
          <w:p>
            <w:pPr>
              <w:spacing w:after="0"/>
            </w:pPr>
            <w:r>
              <w:rPr>
                <w:color w:val="162433"/>
                <w:sz w:val="18"/>
              </w:rPr>
              <w:t>Who changed, and why might now matter?</w:t>
            </w:r>
          </w:p>
        </w:tc>
        <w:tc>
          <w:tcPr>
            <w:tcW w:type="dxa" w:w="4320"/>
            <w:tcMar>
              <w:top w:w="130" w:type="dxa"/>
              <w:start w:w="120" w:type="dxa"/>
              <w:bottom w:w="130" w:type="dxa"/>
              <w:end w:w="120" w:type="dxa"/>
            </w:tcMar>
            <w:tcBorders>
              <w:bottom w:val="single" w:sz="4" w:color="CAD8E3"/>
            </w:tcBorders>
          </w:tcPr>
          <w:p>
            <w:pPr>
              <w:spacing w:after="0"/>
            </w:pPr>
            <w:r>
              <w:rPr>
                <w:color w:val="162433"/>
                <w:sz w:val="18"/>
              </w:rPr>
              <w:t>Starting the day, narrowing a state, and reviewing account evidence.</w:t>
            </w:r>
          </w:p>
        </w:tc>
      </w:tr>
      <w:tr>
        <w:tc>
          <w:tcPr>
            <w:tcW w:type="dxa" w:w="1800"/>
            <w:tcMar>
              <w:top w:w="130" w:type="dxa"/>
              <w:start w:w="120" w:type="dxa"/>
              <w:bottom w:w="130" w:type="dxa"/>
              <w:end w:w="120" w:type="dxa"/>
            </w:tcMar>
            <w:tcBorders>
              <w:bottom w:val="single" w:sz="4" w:color="CAD8E3"/>
            </w:tcBorders>
          </w:tcPr>
          <w:p>
            <w:pPr>
              <w:spacing w:after="0"/>
            </w:pPr>
            <w:r>
              <w:rPr>
                <w:color w:val="162433"/>
                <w:sz w:val="18"/>
              </w:rPr>
              <w:t>Market coverage</w:t>
            </w:r>
          </w:p>
        </w:tc>
        <w:tc>
          <w:tcPr>
            <w:tcW w:type="dxa" w:w="3240"/>
            <w:tcMar>
              <w:top w:w="130" w:type="dxa"/>
              <w:start w:w="120" w:type="dxa"/>
              <w:bottom w:w="130" w:type="dxa"/>
              <w:end w:w="120" w:type="dxa"/>
            </w:tcMar>
            <w:tcBorders>
              <w:bottom w:val="single" w:sz="4" w:color="CAD8E3"/>
            </w:tcBorders>
          </w:tcPr>
          <w:p>
            <w:pPr>
              <w:spacing w:after="0"/>
            </w:pPr>
            <w:r>
              <w:rPr>
                <w:color w:val="162433"/>
                <w:sz w:val="18"/>
              </w:rPr>
              <w:t>Which states and sources returned current records?</w:t>
            </w:r>
          </w:p>
        </w:tc>
        <w:tc>
          <w:tcPr>
            <w:tcW w:type="dxa" w:w="4320"/>
            <w:tcMar>
              <w:top w:w="130" w:type="dxa"/>
              <w:start w:w="120" w:type="dxa"/>
              <w:bottom w:w="130" w:type="dxa"/>
              <w:end w:w="120" w:type="dxa"/>
            </w:tcMar>
            <w:tcBorders>
              <w:bottom w:val="single" w:sz="4" w:color="CAD8E3"/>
            </w:tcBorders>
          </w:tcPr>
          <w:p>
            <w:pPr>
              <w:spacing w:after="0"/>
            </w:pPr>
            <w:r>
              <w:rPr>
                <w:color w:val="162433"/>
                <w:sz w:val="18"/>
              </w:rPr>
              <w:t>Comparing territory depth or checking a source outage.</w:t>
            </w:r>
          </w:p>
        </w:tc>
      </w:tr>
      <w:tr>
        <w:tc>
          <w:tcPr>
            <w:tcW w:type="dxa" w:w="1800"/>
            <w:tcMar>
              <w:top w:w="130" w:type="dxa"/>
              <w:start w:w="120" w:type="dxa"/>
              <w:bottom w:w="130" w:type="dxa"/>
              <w:end w:w="120" w:type="dxa"/>
            </w:tcMar>
            <w:tcBorders>
              <w:bottom w:val="single" w:sz="4" w:color="CAD8E3"/>
            </w:tcBorders>
          </w:tcPr>
          <w:p>
            <w:pPr>
              <w:spacing w:after="0"/>
            </w:pPr>
            <w:r>
              <w:rPr>
                <w:color w:val="162433"/>
                <w:sz w:val="18"/>
              </w:rPr>
              <w:t>Investor view</w:t>
            </w:r>
          </w:p>
        </w:tc>
        <w:tc>
          <w:tcPr>
            <w:tcW w:type="dxa" w:w="3240"/>
            <w:tcMar>
              <w:top w:w="130" w:type="dxa"/>
              <w:start w:w="120" w:type="dxa"/>
              <w:bottom w:w="130" w:type="dxa"/>
              <w:end w:w="120" w:type="dxa"/>
            </w:tcMar>
            <w:tcBorders>
              <w:bottom w:val="single" w:sz="4" w:color="CAD8E3"/>
            </w:tcBorders>
          </w:tcPr>
          <w:p>
            <w:pPr>
              <w:spacing w:after="0"/>
            </w:pPr>
            <w:r>
              <w:rPr>
                <w:color w:val="162433"/>
                <w:sz w:val="18"/>
              </w:rPr>
              <w:t>Can the product’s claims be checked?</w:t>
            </w:r>
          </w:p>
        </w:tc>
        <w:tc>
          <w:tcPr>
            <w:tcW w:type="dxa" w:w="4320"/>
            <w:tcMar>
              <w:top w:w="130" w:type="dxa"/>
              <w:start w:w="120" w:type="dxa"/>
              <w:bottom w:w="130" w:type="dxa"/>
              <w:end w:w="120" w:type="dxa"/>
            </w:tcMar>
            <w:tcBorders>
              <w:bottom w:val="single" w:sz="4" w:color="CAD8E3"/>
            </w:tcBorders>
          </w:tcPr>
          <w:p>
            <w:pPr>
              <w:spacing w:after="0"/>
            </w:pPr>
            <w:r>
              <w:rPr>
                <w:color w:val="162433"/>
                <w:sz w:val="18"/>
              </w:rPr>
              <w:t>Explaining live sources, product boundaries, and what is measured.</w:t>
            </w:r>
          </w:p>
        </w:tc>
      </w:tr>
    </w:tbl>
    <w:p>
      <w:pPr>
        <w:pStyle w:val="Heading1"/>
      </w:pPr>
      <w:r>
        <w:t>How to read an account card</w:t>
      </w:r>
    </w:p>
    <w:p>
      <w:pPr>
        <w:pStyle w:val="ListBullet"/>
      </w:pPr>
      <w:r>
        <w:rPr>
          <w:b/>
        </w:rPr>
        <w:t xml:space="preserve">Verified deal moment: </w:t>
      </w:r>
      <w:r>
        <w:t>The exact organization-level fact returned by an official source.</w:t>
      </w:r>
    </w:p>
    <w:p>
      <w:pPr>
        <w:pStyle w:val="ListBullet"/>
      </w:pPr>
      <w:r>
        <w:rPr>
          <w:b/>
        </w:rPr>
        <w:t xml:space="preserve">Timing: </w:t>
      </w:r>
      <w:r>
        <w:t>A research window—not proof of a renewal, dissatisfaction, or buying decision.</w:t>
      </w:r>
    </w:p>
    <w:p>
      <w:pPr>
        <w:pStyle w:val="ListBullet"/>
      </w:pPr>
      <w:r>
        <w:rPr>
          <w:b/>
        </w:rPr>
        <w:t xml:space="preserve">Likely fit: </w:t>
      </w:r>
      <w:r>
        <w:t>A reason to investigate. It is not a recommendation, quote, eligibility decision, or underwriting conclusion.</w:t>
      </w:r>
    </w:p>
    <w:p>
      <w:pPr>
        <w:pStyle w:val="ListBullet"/>
      </w:pPr>
      <w:r>
        <w:rPr>
          <w:b/>
        </w:rPr>
        <w:t xml:space="preserve">Evidence: </w:t>
      </w:r>
      <w:r>
        <w:t>The official record and the fields that support the timing signal.</w:t>
      </w:r>
    </w:p>
    <w:p>
      <w:pPr>
        <w:pStyle w:val="ListBullet"/>
      </w:pPr>
      <w:r>
        <w:rPr>
          <w:b/>
        </w:rPr>
        <w:t xml:space="preserve">Source status: </w:t>
      </w:r>
      <w:r>
        <w:t>LIVE means the source answered this pull. UNAVAILABLE means it did not. NOT APPLICABLE means the source was not expected for that request.</w:t>
      </w:r>
    </w:p>
    <w:p>
      <w:pPr>
        <w:pStyle w:val="ListBullet"/>
      </w:pPr>
      <w:r>
        <w:rPr>
          <w:b/>
        </w:rPr>
        <w:t xml:space="preserve">Cleared to contact: </w:t>
      </w:r>
      <w:r>
        <w:t>This stays at zero in the public view by design. Contact permission comes only from a separate, protected clearance decision.</w:t>
      </w:r>
    </w:p>
    <w:tbl>
      <w:tblPr>
        <w:tblW w:type="auto" w:w="0"/>
        <w:tblLayout w:type="fixed"/>
        <w:tblLook w:firstColumn="1" w:firstRow="1" w:lastColumn="0" w:lastRow="0" w:noHBand="0" w:noVBand="1" w:val="04A0"/>
      </w:tblPr>
      <w:tblGrid>
        <w:gridCol w:w="9360"/>
      </w:tblGrid>
      <w:tr>
        <w:tc>
          <w:tcPr>
            <w:tcW w:type="dxa" w:w="9360"/>
            <w:vAlign w:val="center"/>
            <w:shd w:fill="E7FBF5"/>
            <w:tcMar>
              <w:top w:w="170" w:type="dxa"/>
              <w:start w:w="220" w:type="dxa"/>
              <w:bottom w:w="170" w:type="dxa"/>
              <w:end w:w="220" w:type="dxa"/>
            </w:tcMar>
            <w:tcBorders>
              <w:start w:val="single" w:sz="28" w:color="087F6A"/>
            </w:tcBorders>
          </w:tcPr>
          <w:p>
            <w:pPr>
              <w:spacing w:after="40"/>
            </w:pPr>
            <w:r>
              <w:rPr>
                <w:b/>
                <w:color w:val="087F6A"/>
                <w:sz w:val="16"/>
              </w:rPr>
              <w:t>THE SIMPLE RULE</w:t>
            </w:r>
          </w:p>
          <w:p>
            <w:pPr>
              <w:spacing w:after="0"/>
            </w:pPr>
            <w:r>
              <w:rPr>
                <w:color w:val="162433"/>
                <w:sz w:val="21"/>
              </w:rPr>
              <w:t>Use David Leads to decide what to research first. Use the official record to verify why. Use the protected clearance process to decide whether contact is permitted.</w:t>
            </w:r>
          </w:p>
        </w:tc>
        <w:trPr>
          <w:tblHeader/>
        </w:trPr>
      </w:tr>
    </w:tbl>
    <w:p>
      <w:pPr>
        <w:spacing w:after="0"/>
      </w:pPr>
    </w:p>
    <w:p>
      <w:pPr>
        <w:pStyle w:val="Heading1"/>
      </w:pPr>
      <w:r>
        <w:t>What the live sources tell you</w:t>
      </w:r>
    </w:p>
    <w:p>
      <w:r>
        <w:t>Each source contributes a different kind of organization-level change. Counts move as public records and source availability change.</w:t>
      </w:r>
    </w:p>
    <w:tbl>
      <w:tblPr>
        <w:tblW w:type="auto" w:w="0"/>
        <w:tblLayout w:type="fixed"/>
        <w:tblLook w:firstColumn="1" w:firstRow="1" w:lastColumn="0" w:lastRow="0" w:noHBand="0" w:noVBand="1" w:val="04A0"/>
      </w:tblPr>
      <w:tblGrid>
        <w:gridCol w:w="3120"/>
        <w:gridCol w:w="3120"/>
        <w:gridCol w:w="3120"/>
      </w:tblGrid>
      <w:tr>
        <w:trPr>
          <w:tblHeader w:val="true"/>
        </w:trPr>
        <w:tc>
          <w:tcPr>
            <w:tcW w:type="dxa" w:w="2376"/>
            <w:shd w:fill="071522"/>
            <w:tcMar>
              <w:top w:w="130" w:type="dxa"/>
              <w:start w:w="120" w:type="dxa"/>
              <w:bottom w:w="130" w:type="dxa"/>
              <w:end w:w="120" w:type="dxa"/>
            </w:tcMar>
          </w:tcPr>
          <w:p>
            <w:pPr>
              <w:spacing w:after="0"/>
            </w:pPr>
            <w:r>
              <w:rPr>
                <w:b/>
                <w:color w:val="FFFFFF"/>
                <w:sz w:val="17"/>
              </w:rPr>
              <w:t>Official source</w:t>
            </w:r>
          </w:p>
        </w:tc>
        <w:tc>
          <w:tcPr>
            <w:tcW w:type="dxa" w:w="3240"/>
            <w:shd w:fill="071522"/>
            <w:tcMar>
              <w:top w:w="130" w:type="dxa"/>
              <w:start w:w="120" w:type="dxa"/>
              <w:bottom w:w="130" w:type="dxa"/>
              <w:end w:w="120" w:type="dxa"/>
            </w:tcMar>
          </w:tcPr>
          <w:p>
            <w:pPr>
              <w:spacing w:after="0"/>
            </w:pPr>
            <w:r>
              <w:rPr>
                <w:b/>
                <w:color w:val="FFFFFF"/>
                <w:sz w:val="17"/>
              </w:rPr>
              <w:t>What is observed</w:t>
            </w:r>
          </w:p>
        </w:tc>
        <w:tc>
          <w:tcPr>
            <w:tcW w:type="dxa" w:w="3744"/>
            <w:shd w:fill="071522"/>
            <w:tcMar>
              <w:top w:w="130" w:type="dxa"/>
              <w:start w:w="120" w:type="dxa"/>
              <w:bottom w:w="130" w:type="dxa"/>
              <w:end w:w="120" w:type="dxa"/>
            </w:tcMar>
          </w:tcPr>
          <w:p>
            <w:pPr>
              <w:spacing w:after="0"/>
            </w:pPr>
            <w:r>
              <w:rPr>
                <w:b/>
                <w:color w:val="FFFFFF"/>
                <w:sz w:val="17"/>
              </w:rPr>
              <w:t>How David can use it</w:t>
            </w:r>
          </w:p>
        </w:tc>
      </w:tr>
      <w:tr>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U.S. Department of Labor — Form 5500</w:t>
            </w:r>
          </w:p>
        </w:tc>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A reported group-life benefit and plan period for an organization.</w:t>
            </w:r>
          </w:p>
        </w:tc>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Research a benefits-timing conversation after confirming the filing.</w:t>
            </w:r>
          </w:p>
        </w:tc>
      </w:tr>
      <w:tr>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Federal Motor Carrier Safety Administration</w:t>
            </w:r>
          </w:p>
        </w:tc>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A recent carrier-entity registration or change.</w:t>
            </w:r>
          </w:p>
        </w:tc>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Research business growth or operational change; do not use crash or safety data.</w:t>
            </w:r>
          </w:p>
        </w:tc>
      </w:tr>
      <w:tr>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USAspending.gov</w:t>
            </w:r>
          </w:p>
        </w:tc>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Recent federal contract activity tied to an organization.</w:t>
            </w:r>
          </w:p>
        </w:tc>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Research growth, new obligations, or changing protection needs.</w:t>
            </w:r>
          </w:p>
        </w:tc>
      </w:tr>
      <w:tr>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Environmental Protection Agency — ECHO</w:t>
            </w:r>
          </w:p>
        </w:tc>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Current facility or operating activity in an official facility record.</w:t>
            </w:r>
          </w:p>
        </w:tc>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Research operational scale and continuity needs; do not infer community or personal traits.</w:t>
            </w:r>
          </w:p>
        </w:tc>
      </w:tr>
      <w:tr>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SAM.gov and FCC</w:t>
            </w:r>
          </w:p>
        </w:tc>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Adapter status is shown even when a durable live pull is not available.</w:t>
            </w:r>
          </w:p>
        </w:tc>
        <w:tc>
          <w:tcPr>
            <w:tcW w:type="dxa" w:w="3120"/>
            <w:tcMar>
              <w:top w:w="110" w:type="dxa"/>
              <w:start w:w="120" w:type="dxa"/>
              <w:bottom w:w="110" w:type="dxa"/>
              <w:end w:w="120" w:type="dxa"/>
            </w:tcMar>
            <w:tcBorders>
              <w:bottom w:val="single" w:sz="4" w:color="CAD8E3"/>
            </w:tcBorders>
            <w:vAlign w:val="center"/>
          </w:tcPr>
          <w:p>
            <w:pPr>
              <w:spacing w:after="0"/>
            </w:pPr>
            <w:r>
              <w:rPr>
                <w:color w:val="162433"/>
                <w:sz w:val="17"/>
              </w:rPr>
              <w:t>Treat unavailable as unavailable. Do not substitute a sample or guess.</w:t>
            </w:r>
          </w:p>
        </w:tc>
      </w:tr>
    </w:tbl>
    <w:p>
      <w:pPr>
        <w:pStyle w:val="Heading1"/>
      </w:pPr>
      <w:r>
        <w:t>What the application deliberately does not use</w:t>
      </w:r>
    </w:p>
    <w:p>
      <w:pPr>
        <w:pStyle w:val="ListBullet"/>
      </w:pPr>
      <w:r>
        <w:t>Private consumer data, purchased personal contact lists, or hidden profiles.</w:t>
      </w:r>
    </w:p>
    <w:p>
      <w:pPr>
        <w:pStyle w:val="ListBullet"/>
      </w:pPr>
      <w:r>
        <w:t>Social-profile scraping, named executives, signers, donors, or insiders as personal ‘wealth leads.’</w:t>
      </w:r>
    </w:p>
    <w:p>
      <w:pPr>
        <w:pStyle w:val="ListBullet"/>
      </w:pPr>
      <w:r>
        <w:t>Health, age, race, religion, family status, wealth, insurability, or other sensitive personal inferences.</w:t>
      </w:r>
    </w:p>
    <w:p>
      <w:pPr>
        <w:pStyle w:val="ListBullet"/>
      </w:pPr>
      <w:r>
        <w:t>A public record as proof of consent, interest, eligibility, or permission to contact.</w:t>
      </w:r>
    </w:p>
    <w:p>
      <w:pPr>
        <w:pStyle w:val="ListBullet"/>
      </w:pPr>
      <w:r>
        <w:t>Sample leads when a live upstream source is unavailable.</w:t>
      </w:r>
    </w:p>
    <w:p>
      <w:pPr>
        <w:pStyle w:val="Heading1"/>
      </w:pPr>
      <w:r>
        <w:t>Before any call or email</w:t>
      </w:r>
    </w:p>
    <w:p>
      <w:r>
        <w:t>A strong signal is still only a reason to research. Complete every check below before outreach.</w:t>
      </w:r>
    </w:p>
    <w:tbl>
      <w:tblPr>
        <w:tblW w:type="auto" w:w="0"/>
        <w:tblLayout w:type="fixed"/>
        <w:tblLook w:firstColumn="1" w:firstRow="1" w:lastColumn="0" w:lastRow="0" w:noHBand="0" w:noVBand="1" w:val="04A0"/>
      </w:tblPr>
      <w:tblGrid>
        <w:gridCol w:w="3120"/>
        <w:gridCol w:w="3120"/>
        <w:gridCol w:w="3120"/>
      </w:tblGrid>
      <w:tr>
        <w:trPr>
          <w:tblHeader w:val="true"/>
        </w:trPr>
        <w:tc>
          <w:tcPr>
            <w:tcW w:type="dxa" w:w="864"/>
            <w:shd w:fill="071522"/>
            <w:tcMar>
              <w:top w:w="130" w:type="dxa"/>
              <w:start w:w="120" w:type="dxa"/>
              <w:bottom w:w="130" w:type="dxa"/>
              <w:end w:w="120" w:type="dxa"/>
            </w:tcMar>
          </w:tcPr>
          <w:p>
            <w:pPr>
              <w:spacing w:after="0"/>
            </w:pPr>
            <w:r>
              <w:rPr>
                <w:b/>
                <w:color w:val="FFFFFF"/>
                <w:sz w:val="17"/>
              </w:rPr>
              <w:t>Step</w:t>
            </w:r>
          </w:p>
        </w:tc>
        <w:tc>
          <w:tcPr>
            <w:tcW w:type="dxa" w:w="2304"/>
            <w:shd w:fill="071522"/>
            <w:tcMar>
              <w:top w:w="130" w:type="dxa"/>
              <w:start w:w="120" w:type="dxa"/>
              <w:bottom w:w="130" w:type="dxa"/>
              <w:end w:w="120" w:type="dxa"/>
            </w:tcMar>
          </w:tcPr>
          <w:p>
            <w:pPr>
              <w:spacing w:after="0"/>
            </w:pPr>
            <w:r>
              <w:rPr>
                <w:b/>
                <w:color w:val="FFFFFF"/>
                <w:sz w:val="17"/>
              </w:rPr>
              <w:t>Check</w:t>
            </w:r>
          </w:p>
        </w:tc>
        <w:tc>
          <w:tcPr>
            <w:tcW w:type="dxa" w:w="6192"/>
            <w:shd w:fill="071522"/>
            <w:tcMar>
              <w:top w:w="130" w:type="dxa"/>
              <w:start w:w="120" w:type="dxa"/>
              <w:bottom w:w="130" w:type="dxa"/>
              <w:end w:w="120" w:type="dxa"/>
            </w:tcMar>
          </w:tcPr>
          <w:p>
            <w:pPr>
              <w:spacing w:after="0"/>
            </w:pPr>
            <w:r>
              <w:rPr>
                <w:b/>
                <w:color w:val="FFFFFF"/>
                <w:sz w:val="17"/>
              </w:rPr>
              <w:t>What good looks like</w:t>
            </w:r>
          </w:p>
        </w:tc>
      </w:tr>
      <w:tr>
        <w:tc>
          <w:tcPr>
            <w:tcW w:type="dxa" w:w="864"/>
            <w:tcMar>
              <w:top w:w="110" w:type="dxa"/>
              <w:start w:w="120" w:type="dxa"/>
              <w:bottom w:w="110" w:type="dxa"/>
              <w:end w:w="120" w:type="dxa"/>
            </w:tcMar>
            <w:tcBorders>
              <w:bottom w:val="single" w:sz="4" w:color="CAD8E3"/>
            </w:tcBorders>
          </w:tcPr>
          <w:p>
            <w:pPr>
              <w:spacing w:after="0"/>
            </w:pPr>
            <w:r>
              <w:rPr>
                <w:color w:val="162433"/>
                <w:sz w:val="17"/>
              </w:rPr>
              <w:t>1</w:t>
            </w:r>
          </w:p>
        </w:tc>
        <w:tc>
          <w:tcPr>
            <w:tcW w:type="dxa" w:w="2304"/>
            <w:tcMar>
              <w:top w:w="110" w:type="dxa"/>
              <w:start w:w="120" w:type="dxa"/>
              <w:bottom w:w="110" w:type="dxa"/>
              <w:end w:w="120" w:type="dxa"/>
            </w:tcMar>
            <w:tcBorders>
              <w:bottom w:val="single" w:sz="4" w:color="CAD8E3"/>
            </w:tcBorders>
          </w:tcPr>
          <w:p>
            <w:pPr>
              <w:spacing w:after="0"/>
            </w:pPr>
            <w:r>
              <w:rPr>
                <w:color w:val="162433"/>
                <w:sz w:val="17"/>
              </w:rPr>
              <w:t>Entity</w:t>
            </w:r>
          </w:p>
        </w:tc>
        <w:tc>
          <w:tcPr>
            <w:tcW w:type="dxa" w:w="6192"/>
            <w:tcMar>
              <w:top w:w="110" w:type="dxa"/>
              <w:start w:w="120" w:type="dxa"/>
              <w:bottom w:w="110" w:type="dxa"/>
              <w:end w:w="120" w:type="dxa"/>
            </w:tcMar>
            <w:tcBorders>
              <w:bottom w:val="single" w:sz="4" w:color="CAD8E3"/>
            </w:tcBorders>
          </w:tcPr>
          <w:p>
            <w:pPr>
              <w:spacing w:after="0"/>
            </w:pPr>
            <w:r>
              <w:rPr>
                <w:color w:val="162433"/>
                <w:sz w:val="17"/>
              </w:rPr>
              <w:t>The official record and the organization’s own website refer to the same business.</w:t>
            </w:r>
          </w:p>
        </w:tc>
      </w:tr>
      <w:tr>
        <w:tc>
          <w:tcPr>
            <w:tcW w:type="dxa" w:w="864"/>
            <w:tcMar>
              <w:top w:w="110" w:type="dxa"/>
              <w:start w:w="120" w:type="dxa"/>
              <w:bottom w:w="110" w:type="dxa"/>
              <w:end w:w="120" w:type="dxa"/>
            </w:tcMar>
            <w:tcBorders>
              <w:bottom w:val="single" w:sz="4" w:color="CAD8E3"/>
            </w:tcBorders>
          </w:tcPr>
          <w:p>
            <w:pPr>
              <w:spacing w:after="0"/>
            </w:pPr>
            <w:r>
              <w:rPr>
                <w:color w:val="162433"/>
                <w:sz w:val="17"/>
              </w:rPr>
              <w:t>2</w:t>
            </w:r>
          </w:p>
        </w:tc>
        <w:tc>
          <w:tcPr>
            <w:tcW w:type="dxa" w:w="2304"/>
            <w:tcMar>
              <w:top w:w="110" w:type="dxa"/>
              <w:start w:w="120" w:type="dxa"/>
              <w:bottom w:w="110" w:type="dxa"/>
              <w:end w:w="120" w:type="dxa"/>
            </w:tcMar>
            <w:tcBorders>
              <w:bottom w:val="single" w:sz="4" w:color="CAD8E3"/>
            </w:tcBorders>
          </w:tcPr>
          <w:p>
            <w:pPr>
              <w:spacing w:after="0"/>
            </w:pPr>
            <w:r>
              <w:rPr>
                <w:color w:val="162433"/>
                <w:sz w:val="17"/>
              </w:rPr>
              <w:t>Channel</w:t>
            </w:r>
          </w:p>
        </w:tc>
        <w:tc>
          <w:tcPr>
            <w:tcW w:type="dxa" w:w="6192"/>
            <w:tcMar>
              <w:top w:w="110" w:type="dxa"/>
              <w:start w:w="120" w:type="dxa"/>
              <w:bottom w:w="110" w:type="dxa"/>
              <w:end w:w="120" w:type="dxa"/>
            </w:tcMar>
            <w:tcBorders>
              <w:bottom w:val="single" w:sz="4" w:color="CAD8E3"/>
            </w:tcBorders>
          </w:tcPr>
          <w:p>
            <w:pPr>
              <w:spacing w:after="0"/>
            </w:pPr>
            <w:r>
              <w:rPr>
                <w:color w:val="162433"/>
                <w:sz w:val="17"/>
              </w:rPr>
              <w:t>The phone number or email is published by the business for business communication; it is not guessed or scraped from a person.</w:t>
            </w:r>
          </w:p>
        </w:tc>
      </w:tr>
      <w:tr>
        <w:tc>
          <w:tcPr>
            <w:tcW w:type="dxa" w:w="864"/>
            <w:tcMar>
              <w:top w:w="110" w:type="dxa"/>
              <w:start w:w="120" w:type="dxa"/>
              <w:bottom w:w="110" w:type="dxa"/>
              <w:end w:w="120" w:type="dxa"/>
            </w:tcMar>
            <w:tcBorders>
              <w:bottom w:val="single" w:sz="4" w:color="CAD8E3"/>
            </w:tcBorders>
          </w:tcPr>
          <w:p>
            <w:pPr>
              <w:spacing w:after="0"/>
            </w:pPr>
            <w:r>
              <w:rPr>
                <w:color w:val="162433"/>
                <w:sz w:val="17"/>
              </w:rPr>
              <w:t>3</w:t>
            </w:r>
          </w:p>
        </w:tc>
        <w:tc>
          <w:tcPr>
            <w:tcW w:type="dxa" w:w="2304"/>
            <w:tcMar>
              <w:top w:w="110" w:type="dxa"/>
              <w:start w:w="120" w:type="dxa"/>
              <w:bottom w:w="110" w:type="dxa"/>
              <w:end w:w="120" w:type="dxa"/>
            </w:tcMar>
            <w:tcBorders>
              <w:bottom w:val="single" w:sz="4" w:color="CAD8E3"/>
            </w:tcBorders>
          </w:tcPr>
          <w:p>
            <w:pPr>
              <w:spacing w:after="0"/>
            </w:pPr>
            <w:r>
              <w:rPr>
                <w:color w:val="162433"/>
                <w:sz w:val="17"/>
              </w:rPr>
              <w:t>License</w:t>
            </w:r>
          </w:p>
        </w:tc>
        <w:tc>
          <w:tcPr>
            <w:tcW w:type="dxa" w:w="6192"/>
            <w:tcMar>
              <w:top w:w="110" w:type="dxa"/>
              <w:start w:w="120" w:type="dxa"/>
              <w:bottom w:w="110" w:type="dxa"/>
              <w:end w:w="120" w:type="dxa"/>
            </w:tcMar>
            <w:tcBorders>
              <w:bottom w:val="single" w:sz="4" w:color="CAD8E3"/>
            </w:tcBorders>
          </w:tcPr>
          <w:p>
            <w:pPr>
              <w:spacing w:after="0"/>
            </w:pPr>
            <w:r>
              <w:rPr>
                <w:color w:val="162433"/>
                <w:sz w:val="17"/>
              </w:rPr>
              <w:t>David is licensed and authorized for the jurisdiction, product, and activity.</w:t>
            </w:r>
          </w:p>
        </w:tc>
      </w:tr>
      <w:tr>
        <w:tc>
          <w:tcPr>
            <w:tcW w:type="dxa" w:w="864"/>
            <w:tcMar>
              <w:top w:w="110" w:type="dxa"/>
              <w:start w:w="120" w:type="dxa"/>
              <w:bottom w:w="110" w:type="dxa"/>
              <w:end w:w="120" w:type="dxa"/>
            </w:tcMar>
            <w:tcBorders>
              <w:bottom w:val="single" w:sz="4" w:color="CAD8E3"/>
            </w:tcBorders>
          </w:tcPr>
          <w:p>
            <w:pPr>
              <w:spacing w:after="0"/>
            </w:pPr>
            <w:r>
              <w:rPr>
                <w:color w:val="162433"/>
                <w:sz w:val="17"/>
              </w:rPr>
              <w:t>4</w:t>
            </w:r>
          </w:p>
        </w:tc>
        <w:tc>
          <w:tcPr>
            <w:tcW w:type="dxa" w:w="2304"/>
            <w:tcMar>
              <w:top w:w="110" w:type="dxa"/>
              <w:start w:w="120" w:type="dxa"/>
              <w:bottom w:w="110" w:type="dxa"/>
              <w:end w:w="120" w:type="dxa"/>
            </w:tcMar>
            <w:tcBorders>
              <w:bottom w:val="single" w:sz="4" w:color="CAD8E3"/>
            </w:tcBorders>
          </w:tcPr>
          <w:p>
            <w:pPr>
              <w:spacing w:after="0"/>
            </w:pPr>
            <w:r>
              <w:rPr>
                <w:color w:val="162433"/>
                <w:sz w:val="17"/>
              </w:rPr>
              <w:t>Suppression</w:t>
            </w:r>
          </w:p>
        </w:tc>
        <w:tc>
          <w:tcPr>
            <w:tcW w:type="dxa" w:w="6192"/>
            <w:tcMar>
              <w:top w:w="110" w:type="dxa"/>
              <w:start w:w="120" w:type="dxa"/>
              <w:bottom w:w="110" w:type="dxa"/>
              <w:end w:w="120" w:type="dxa"/>
            </w:tcMar>
            <w:tcBorders>
              <w:bottom w:val="single" w:sz="4" w:color="CAD8E3"/>
            </w:tcBorders>
          </w:tcPr>
          <w:p>
            <w:pPr>
              <w:spacing w:after="0"/>
            </w:pPr>
            <w:r>
              <w:rPr>
                <w:color w:val="162433"/>
                <w:sz w:val="17"/>
              </w:rPr>
              <w:t>Do-not-call, do-not-email, prior opt-out, and internal suppression checks are clear.</w:t>
            </w:r>
          </w:p>
        </w:tc>
      </w:tr>
      <w:tr>
        <w:tc>
          <w:tcPr>
            <w:tcW w:type="dxa" w:w="864"/>
            <w:tcMar>
              <w:top w:w="110" w:type="dxa"/>
              <w:start w:w="120" w:type="dxa"/>
              <w:bottom w:w="110" w:type="dxa"/>
              <w:end w:w="120" w:type="dxa"/>
            </w:tcMar>
            <w:tcBorders>
              <w:bottom w:val="single" w:sz="4" w:color="CAD8E3"/>
            </w:tcBorders>
          </w:tcPr>
          <w:p>
            <w:pPr>
              <w:spacing w:after="0"/>
            </w:pPr>
            <w:r>
              <w:rPr>
                <w:color w:val="162433"/>
                <w:sz w:val="17"/>
              </w:rPr>
              <w:t>5</w:t>
            </w:r>
          </w:p>
        </w:tc>
        <w:tc>
          <w:tcPr>
            <w:tcW w:type="dxa" w:w="2304"/>
            <w:tcMar>
              <w:top w:w="110" w:type="dxa"/>
              <w:start w:w="120" w:type="dxa"/>
              <w:bottom w:w="110" w:type="dxa"/>
              <w:end w:w="120" w:type="dxa"/>
            </w:tcMar>
            <w:tcBorders>
              <w:bottom w:val="single" w:sz="4" w:color="CAD8E3"/>
            </w:tcBorders>
          </w:tcPr>
          <w:p>
            <w:pPr>
              <w:spacing w:after="0"/>
            </w:pPr>
            <w:r>
              <w:rPr>
                <w:color w:val="162433"/>
                <w:sz w:val="17"/>
              </w:rPr>
              <w:t>Purpose</w:t>
            </w:r>
          </w:p>
        </w:tc>
        <w:tc>
          <w:tcPr>
            <w:tcW w:type="dxa" w:w="6192"/>
            <w:tcMar>
              <w:top w:w="110" w:type="dxa"/>
              <w:start w:w="120" w:type="dxa"/>
              <w:bottom w:w="110" w:type="dxa"/>
              <w:end w:w="120" w:type="dxa"/>
            </w:tcMar>
            <w:tcBorders>
              <w:bottom w:val="single" w:sz="4" w:color="CAD8E3"/>
            </w:tcBorders>
          </w:tcPr>
          <w:p>
            <w:pPr>
              <w:spacing w:after="0"/>
            </w:pPr>
            <w:r>
              <w:rPr>
                <w:color w:val="162433"/>
                <w:sz w:val="17"/>
              </w:rPr>
              <w:t>The reason for contact is truthful, relevant to the observed public fact, and not an unsupported claim.</w:t>
            </w:r>
          </w:p>
        </w:tc>
      </w:tr>
      <w:tr>
        <w:tc>
          <w:tcPr>
            <w:tcW w:type="dxa" w:w="864"/>
            <w:tcMar>
              <w:top w:w="110" w:type="dxa"/>
              <w:start w:w="120" w:type="dxa"/>
              <w:bottom w:w="110" w:type="dxa"/>
              <w:end w:w="120" w:type="dxa"/>
            </w:tcMar>
            <w:tcBorders>
              <w:bottom w:val="single" w:sz="4" w:color="CAD8E3"/>
            </w:tcBorders>
          </w:tcPr>
          <w:p>
            <w:pPr>
              <w:spacing w:after="0"/>
            </w:pPr>
            <w:r>
              <w:rPr>
                <w:color w:val="162433"/>
                <w:sz w:val="17"/>
              </w:rPr>
              <w:t>6</w:t>
            </w:r>
          </w:p>
        </w:tc>
        <w:tc>
          <w:tcPr>
            <w:tcW w:type="dxa" w:w="2304"/>
            <w:tcMar>
              <w:top w:w="110" w:type="dxa"/>
              <w:start w:w="120" w:type="dxa"/>
              <w:bottom w:w="110" w:type="dxa"/>
              <w:end w:w="120" w:type="dxa"/>
            </w:tcMar>
            <w:tcBorders>
              <w:bottom w:val="single" w:sz="4" w:color="CAD8E3"/>
            </w:tcBorders>
          </w:tcPr>
          <w:p>
            <w:pPr>
              <w:spacing w:after="0"/>
            </w:pPr>
            <w:r>
              <w:rPr>
                <w:color w:val="162433"/>
                <w:sz w:val="17"/>
              </w:rPr>
              <w:t>Record</w:t>
            </w:r>
          </w:p>
        </w:tc>
        <w:tc>
          <w:tcPr>
            <w:tcW w:type="dxa" w:w="6192"/>
            <w:tcMar>
              <w:top w:w="110" w:type="dxa"/>
              <w:start w:w="120" w:type="dxa"/>
              <w:bottom w:w="110" w:type="dxa"/>
              <w:end w:w="120" w:type="dxa"/>
            </w:tcMar>
            <w:tcBorders>
              <w:bottom w:val="single" w:sz="4" w:color="CAD8E3"/>
            </w:tcBorders>
          </w:tcPr>
          <w:p>
            <w:pPr>
              <w:spacing w:after="0"/>
            </w:pPr>
            <w:r>
              <w:rPr>
                <w:color w:val="162433"/>
                <w:sz w:val="17"/>
              </w:rPr>
              <w:t>The source, check result, outreach purpose, and later outcome are recorded in the protected system.</w:t>
            </w:r>
          </w:p>
        </w:tc>
      </w:tr>
    </w:tbl>
    <w:tbl>
      <w:tblPr>
        <w:tblW w:type="auto" w:w="0"/>
        <w:tblLayout w:type="fixed"/>
        <w:tblLook w:firstColumn="1" w:firstRow="1" w:lastColumn="0" w:lastRow="0" w:noHBand="0" w:noVBand="1" w:val="04A0"/>
      </w:tblPr>
      <w:tblGrid>
        <w:gridCol w:w="9360"/>
      </w:tblGrid>
      <w:tr>
        <w:tc>
          <w:tcPr>
            <w:tcW w:type="dxa" w:w="9360"/>
            <w:vAlign w:val="center"/>
            <w:shd w:fill="FFF6DB"/>
            <w:tcMar>
              <w:top w:w="170" w:type="dxa"/>
              <w:start w:w="220" w:type="dxa"/>
              <w:bottom w:w="170" w:type="dxa"/>
              <w:end w:w="220" w:type="dxa"/>
            </w:tcMar>
            <w:tcBorders>
              <w:start w:val="single" w:sz="28" w:color="9A6A00"/>
            </w:tcBorders>
          </w:tcPr>
          <w:p>
            <w:pPr>
              <w:spacing w:after="40"/>
            </w:pPr>
            <w:r>
              <w:rPr>
                <w:b/>
                <w:color w:val="9A6A00"/>
                <w:sz w:val="16"/>
              </w:rPr>
              <w:t>STOP RULE</w:t>
            </w:r>
          </w:p>
          <w:p>
            <w:pPr>
              <w:spacing w:after="0"/>
            </w:pPr>
            <w:r>
              <w:rPr>
                <w:color w:val="162433"/>
                <w:sz w:val="21"/>
              </w:rPr>
              <w:t>If any check is unknown, blocked, expired, or unavailable, do not contact. Research can continue; outreach cannot.</w:t>
            </w:r>
          </w:p>
        </w:tc>
        <w:trPr>
          <w:tblHeader/>
        </w:trPr>
      </w:tr>
    </w:tbl>
    <w:p>
      <w:pPr>
        <w:spacing w:after="0"/>
      </w:pPr>
    </w:p>
    <w:p>
      <w:pPr>
        <w:pStyle w:val="Heading1"/>
      </w:pPr>
      <w:r>
        <w:t>A compliant opening</w:t>
      </w:r>
    </w:p>
    <w:p>
      <w:pPr>
        <w:spacing w:before="120" w:after="200" w:line="288" w:lineRule="auto"/>
        <w:ind w:left="360" w:right="360"/>
      </w:pPr>
      <w:r>
        <w:rPr>
          <w:i/>
          <w:color w:val="445568"/>
          <w:sz w:val="22"/>
        </w:rPr>
        <w:t>“I’m reaching out because your organization’s public record showed [verified event]. I’d like to confirm whether the timing is relevant before discussing anything further.”</w:t>
      </w:r>
    </w:p>
    <w:p>
      <w:r>
        <w:t>Use only after clearance. Replace the bracketed text with the exact fact you verified. Never imply that the record proves a need, decision, dissatisfaction, or personal circumstance.</w:t>
      </w:r>
    </w:p>
    <w:p>
      <w:pPr>
        <w:pStyle w:val="Heading1"/>
      </w:pPr>
      <w:r>
        <w:t>The meeting talk track</w:t>
      </w:r>
    </w:p>
    <w:p>
      <w:pPr>
        <w:pStyle w:val="Heading2"/>
      </w:pPr>
      <w:r>
        <w:t>For David — 30 seconds</w:t>
      </w:r>
    </w:p>
    <w:p>
      <w:r>
        <w:t>David Leads shows which organizations changed and why the timing may deserve research. I choose a state, open an account, and follow the official record. The product tells me what is observed, what is uncertain, and what must be cleared before outreach. It does not hand me personal data or pretend a public record is permission to call.</w:t>
      </w:r>
    </w:p>
    <w:p>
      <w:pPr>
        <w:pStyle w:val="Heading2"/>
      </w:pPr>
      <w:r>
        <w:t>For an investor — 30 seconds</w:t>
      </w:r>
    </w:p>
    <w:p>
      <w:r>
        <w:t>This is a governed lead-intelligence product built on official organization records. The public interface shows live source status, evidence, coverage, and product limits. Unavailable sources fail visibly, records are research-only until a protected clearance decision, and the deployed build can be matched back to its source revision.</w:t>
      </w:r>
    </w:p>
    <w:p>
      <w:pPr>
        <w:pStyle w:val="Heading2"/>
      </w:pPr>
      <w:r>
        <w:t>Three points to demonstrate live</w:t>
      </w:r>
    </w:p>
    <w:p>
      <w:pPr>
        <w:pStyle w:val="ListNumber"/>
      </w:pPr>
      <w:r>
        <w:t>Switch from All East to one state and show that the live count and briefing change.</w:t>
      </w:r>
    </w:p>
    <w:p>
      <w:pPr>
        <w:pStyle w:val="ListNumber"/>
      </w:pPr>
      <w:r>
        <w:t>Open an account and follow its official evidence link.</w:t>
      </w:r>
    </w:p>
    <w:p>
      <w:pPr>
        <w:pStyle w:val="ListNumber"/>
      </w:pPr>
      <w:r>
        <w:t>Open Market coverage or Investor view and show which sources answered, which did not, and what the product refuses to infer.</w:t>
      </w:r>
    </w:p>
    <w:p>
      <w:pPr>
        <w:pStyle w:val="Heading1"/>
      </w:pPr>
      <w:r>
        <w:t>What is live today</w:t>
      </w:r>
    </w:p>
    <w:p>
      <w:pPr>
        <w:pStyle w:val="ListBullet"/>
      </w:pPr>
      <w:r>
        <w:t>A no-login public research view designed for desktop and mobile.</w:t>
      </w:r>
    </w:p>
    <w:p>
      <w:pPr>
        <w:pStyle w:val="ListBullet"/>
      </w:pPr>
      <w:r>
        <w:t>All 27 Eastern U.S. markets selectable by region or full state name.</w:t>
      </w:r>
    </w:p>
    <w:p>
      <w:pPr>
        <w:pStyle w:val="ListBullet"/>
      </w:pPr>
      <w:r>
        <w:t>Current organization records from official public sources, with visible source status and no sample replacement when a source is down.</w:t>
      </w:r>
    </w:p>
    <w:p>
      <w:pPr>
        <w:pStyle w:val="ListBullet"/>
      </w:pPr>
      <w:r>
        <w:t>A broker brief, deal-moment filters, market coverage, account evidence, and investor proof language.</w:t>
      </w:r>
    </w:p>
    <w:p>
      <w:pPr>
        <w:pStyle w:val="ListBullet"/>
      </w:pPr>
      <w:r>
        <w:t>A protected back-end workflow for clearance, activity, and outcomes; those private actions are not exposed in the public view.</w:t>
      </w:r>
    </w:p>
    <w:p>
      <w:pPr>
        <w:pStyle w:val="Heading2"/>
      </w:pPr>
      <w:r>
        <w:t>What is not a live claim</w:t>
      </w:r>
    </w:p>
    <w:p>
      <w:pPr>
        <w:pStyle w:val="ListBullet"/>
      </w:pPr>
      <w:r>
        <w:t>A record is not a ready-to-call person or proof of consent.</w:t>
      </w:r>
    </w:p>
    <w:p>
      <w:pPr>
        <w:pStyle w:val="ListBullet"/>
      </w:pPr>
      <w:r>
        <w:t>A timing signal is not proof that a policy is renewing or that a buyer is dissatisfied.</w:t>
      </w:r>
    </w:p>
    <w:p>
      <w:pPr>
        <w:pStyle w:val="ListBullet"/>
      </w:pPr>
      <w:r>
        <w:t>The public screen does not store notes, place calls, send messages, or display private broker history.</w:t>
      </w:r>
    </w:p>
    <w:p>
      <w:pPr>
        <w:pStyle w:val="ListBullet"/>
      </w:pPr>
      <w:r>
        <w:t>Counts are not fixed; they change with territory, source availability, and official updates.</w:t>
      </w:r>
    </w:p>
    <w:p>
      <w:pPr>
        <w:pStyle w:val="Heading1"/>
      </w:pPr>
      <w:r>
        <w:t>If something looks wrong</w:t>
      </w:r>
    </w:p>
    <w:p>
      <w:pPr>
        <w:pStyle w:val="Heading2"/>
      </w:pPr>
      <w:r>
        <w:t>The page says ‘Checking live data’</w:t>
      </w:r>
    </w:p>
    <w:p>
      <w:r>
        <w:t>Give the official sources a moment to answer. If the message remains, refresh once.</w:t>
      </w:r>
    </w:p>
    <w:p>
      <w:pPr>
        <w:pStyle w:val="Heading2"/>
      </w:pPr>
      <w:r>
        <w:t>A source is unavailable</w:t>
      </w:r>
    </w:p>
    <w:p>
      <w:r>
        <w:t>Open Market coverage to see which source failed. Continue with the sources marked live; never treat an unavailable source as zero evidence.</w:t>
      </w:r>
    </w:p>
    <w:p>
      <w:pPr>
        <w:pStyle w:val="Heading2"/>
      </w:pPr>
      <w:r>
        <w:t>The list is too broad</w:t>
      </w:r>
    </w:p>
    <w:p>
      <w:r>
        <w:t>Choose one state instead of a region. State-specific pulls are easier to review during a call block.</w:t>
      </w:r>
    </w:p>
    <w:p>
      <w:pPr>
        <w:pStyle w:val="Heading2"/>
      </w:pPr>
      <w:r>
        <w:t>The list returns no accounts</w:t>
      </w:r>
    </w:p>
    <w:p>
      <w:r>
        <w:t>Confirm the selected territory and source status. Zero results and an unavailable source are different conditions; the interface shows them separately.</w:t>
      </w:r>
    </w:p>
    <w:p>
      <w:pPr>
        <w:pStyle w:val="Heading2"/>
      </w:pPr>
      <w:r>
        <w:t>A link does not open</w:t>
      </w:r>
    </w:p>
    <w:p>
      <w:r>
        <w:t>Open the account again and use its official-source link. If the government site has moved the record, search the entity name on that same official domain.</w:t>
      </w:r>
    </w:p>
    <w:p>
      <w:pPr>
        <w:pStyle w:val="Heading2"/>
      </w:pPr>
      <w:r>
        <w:t>Someone asks for a password</w:t>
      </w:r>
    </w:p>
    <w:p>
      <w:r>
        <w:t>The public research view does not need one. Do not send or paste broker credentials, access keys, or private tokens.</w:t>
      </w:r>
    </w:p>
    <w:p>
      <w:pPr>
        <w:pStyle w:val="Heading1"/>
      </w:pPr>
      <w:r>
        <w:t>End-of-day handoff</w:t>
      </w:r>
    </w:p>
    <w:p>
      <w:r>
        <w:t>Before closing the day, confirm that every contacted organization had a completed clearance, every outcome is factual, and every do-not-contact request is recorded immediately in the protected system. Keep research notes and private channels out of screenshots and public links.</w:t>
      </w:r>
    </w:p>
    <w:tbl>
      <w:tblPr>
        <w:tblW w:type="auto" w:w="0"/>
        <w:tblLayout w:type="fixed"/>
        <w:tblLook w:firstColumn="1" w:firstRow="1" w:lastColumn="0" w:lastRow="0" w:noHBand="0" w:noVBand="1" w:val="04A0"/>
      </w:tblPr>
      <w:tblGrid>
        <w:gridCol w:w="9360"/>
      </w:tblGrid>
      <w:tr>
        <w:tc>
          <w:tcPr>
            <w:tcW w:type="dxa" w:w="9360"/>
            <w:vAlign w:val="center"/>
            <w:shd w:fill="DFF6FF"/>
            <w:tcMar>
              <w:top w:w="170" w:type="dxa"/>
              <w:start w:w="220" w:type="dxa"/>
              <w:bottom w:w="170" w:type="dxa"/>
              <w:end w:w="220" w:type="dxa"/>
            </w:tcMar>
            <w:tcBorders>
              <w:start w:val="single" w:sz="28" w:color="2E74B5"/>
            </w:tcBorders>
          </w:tcPr>
          <w:p>
            <w:pPr>
              <w:spacing w:after="40"/>
            </w:pPr>
            <w:r>
              <w:rPr>
                <w:b/>
                <w:color w:val="2E74B5"/>
                <w:sz w:val="16"/>
              </w:rPr>
              <w:t>BOTTOM LINE</w:t>
            </w:r>
          </w:p>
          <w:p>
            <w:pPr>
              <w:spacing w:after="0"/>
            </w:pPr>
            <w:r>
              <w:rPr>
                <w:color w:val="162433"/>
                <w:sz w:val="21"/>
              </w:rPr>
              <w:t>The advantage is not more personal data. The advantage is earlier organization-level change detection, transparent evidence, disciplined follow-through, and a clean boundary between research and permission to contact.</w:t>
            </w:r>
          </w:p>
        </w:tc>
        <w:trPr>
          <w:tblHeader/>
        </w:trPr>
      </w:tr>
    </w:tbl>
    <w:p>
      <w:pPr>
        <w:spacing w:after="0"/>
      </w:pPr>
    </w:p>
    <w:p>
      <w:pPr>
        <w:spacing w:before="200"/>
      </w:pPr>
      <w:r>
        <w:rPr>
          <w:b/>
        </w:rPr>
        <w:t xml:space="preserve">Live workspace: </w:t>
      </w:r>
      <w:hyperlink r:id="rId11">
        <w:r>
          <w:rPr>
            <w:color w:val="2E74B5"/>
            <w:u w:val="single"/>
          </w:rPr>
          <w:t>Open David Leads</w:t>
        </w:r>
      </w:hyperlink>
    </w:p>
    <w:p>
      <w:r>
        <w:rPr>
          <w:b/>
        </w:rPr>
        <w:t xml:space="preserve">Source and operating model: </w:t>
      </w:r>
      <w:hyperlink r:id="rId12">
        <w:r>
          <w:rPr>
            <w:color w:val="2E74B5"/>
            <w:u w:val="single"/>
          </w:rPr>
          <w:t>View the public GitHub repository</w:t>
        </w:r>
      </w:hyperlink>
    </w:p>
    <w:sectPr>
      <w:headerReference w:type="first" r:id="rId9"/>
      <w:footerReference w:type="default" r:id="rId10"/>
      <w:pgSz w:w="12240" w:h="15840"/>
      <w:pgMar w:top="1440"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445568"/>
        <w:sz w:val="16"/>
      </w:rPr>
      <w:t xml:space="preserve">Public broker guide  |  No credentials included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040"/>
      <w:gridCol w:w="4320"/>
    </w:tblGrid>
    <w:tr>
      <w:tc>
        <w:tcPr>
          <w:tcW w:type="dxa" w:w="5040"/>
          <w:tcMar>
            <w:top w:w="0" w:type="dxa"/>
            <w:start w:w="0" w:type="dxa"/>
            <w:bottom w:w="60" w:type="dxa"/>
            <w:end w:w="0" w:type="dxa"/>
          </w:tcMar>
          <w:tcBorders>
            <w:bottom w:val="single" w:sz="14" w:color="22D3AE"/>
          </w:tcBorders>
        </w:tcPr>
        <w:p>
          <w:pPr>
            <w:spacing w:after="0"/>
          </w:pPr>
          <w:r>
            <w:rPr>
              <w:b/>
              <w:color w:val="071522"/>
              <w:sz w:val="18"/>
            </w:rPr>
            <w:t>DAVID LEADS</w:t>
          </w:r>
        </w:p>
      </w:tc>
      <w:tc>
        <w:tcPr>
          <w:tcW w:type="dxa" w:w="4320"/>
          <w:tcMar>
            <w:top w:w="0" w:type="dxa"/>
            <w:start w:w="0" w:type="dxa"/>
            <w:bottom w:w="60" w:type="dxa"/>
            <w:end w:w="0" w:type="dxa"/>
          </w:tcMar>
          <w:tcBorders>
            <w:bottom w:val="single" w:sz="14" w:color="22D3AE"/>
          </w:tcBorders>
        </w:tcPr>
        <w:p>
          <w:pPr>
            <w:spacing w:after="0"/>
            <w:jc w:val="right"/>
          </w:pPr>
          <w:r>
            <w:rPr>
              <w:b/>
              <w:color w:val="445568"/>
              <w:sz w:val="16"/>
            </w:rPr>
            <w:t>BROKER FIELD GUIDE</w:t>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715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715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hanging="23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hanging="23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zlholdings-david-leads.hf.space/" TargetMode="External"/><Relationship Id="rId12" Type="http://schemas.openxmlformats.org/officeDocument/2006/relationships/hyperlink" Target="https://github.com/szl-holdings/david-le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Leads Broker Field Guide</dc:title>
  <dc:subject>Plain-English operating guide for the David Leads public broker workspace</dc:subject>
  <dc:creator/>
  <cp:keywords>David Leads, broker, public data, field guide</cp:keywords>
  <dc:description>generated by python-docx</dc:description>
  <cp:lastModifiedBy/>
  <cp:revision>1</cp:revision>
  <dcterms:created xsi:type="dcterms:W3CDTF">2013-12-23T23:15:00Z</dcterms:created>
  <dcterms:modified xsi:type="dcterms:W3CDTF">2013-12-23T23:15:00Z</dcterms:modified>
  <cp:category/>
</cp:coreProperties>
</file>