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0A2540"/>
          <w:sz w:val="30"/>
          <w:szCs w:val="30"/>
        </w:rPr>
        <w:t xml:space="preserve">DAVID LEADS</w:t>
      </w:r>
      <w:r>
        <w:rPr>
          <w:rFonts w:ascii="Calibri" w:cs="Calibri" w:eastAsia="Calibri" w:hAnsi="Calibri"/>
          <w:b/>
          <w:bCs/>
          <w:color w:val="C08F2F"/>
          <w:sz w:val="18"/>
          <w:szCs w:val="18"/>
        </w:rPr>
        <w:t xml:space="preserve">   Sovereign Insurance Intelligence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A6B7C"/>
          <w:sz w:val="19"/>
          <w:szCs w:val="19"/>
        </w:rPr>
        <w:t xml:space="preserve">A private, public-data lead-intelligence console — prepared for David Abraham, New York Life.</w:t>
      </w:r>
    </w:p>
    <w:p>
      <w:pPr>
        <w:spacing w:after="160" w:before="60"/>
      </w:pPr>
      <w:r>
        <w:rPr>
          <w:rFonts w:ascii="Calibri" w:cs="Calibri" w:eastAsia="Calibri" w:hAnsi="Calibri"/>
          <w:b/>
          <w:bCs/>
          <w:color w:val="0A2540"/>
          <w:sz w:val="40"/>
          <w:szCs w:val="40"/>
        </w:rPr>
        <w:t xml:space="preserve">Your private intelligence console</w:t>
      </w:r>
    </w:p>
    <w:p>
      <w:pPr>
        <w:spacing w:after="120"/>
      </w:pPr>
      <w:r>
        <w:rPr>
          <w:rFonts w:ascii="Calibri" w:cs="Calibri" w:eastAsia="Calibri" w:hAnsi="Calibri"/>
          <w:color w:val="28251D"/>
          <w:sz w:val="21"/>
          <w:szCs w:val="21"/>
        </w:rPr>
        <w:t xml:space="preserve">David — this is your own console for finding the people in your territory who just had a life event that creates a real insurance need. </w:t>
      </w:r>
      <w:r>
        <w:rPr>
          <w:rFonts w:ascii="Calibri" w:cs="Calibri" w:eastAsia="Calibri" w:hAnsi="Calibri"/>
          <w:color w:val="28251D"/>
          <w:sz w:val="21"/>
          <w:szCs w:val="21"/>
        </w:rPr>
        <w:t xml:space="preserve">Everything you see is built live from public records, ranked so the best prospects rise to the top, and every lead comes with a proof trail you can open and check.</w:t>
      </w:r>
    </w:p>
    <w:p>
      <w:pPr>
        <w:spacing w:after="120"/>
      </w:pPr>
      <w:r>
        <w:rPr>
          <w:rFonts w:ascii="Calibri" w:cs="Calibri" w:eastAsia="Calibri" w:hAnsi="Calibri"/>
          <w:b/>
          <w:bCs/>
          <w:color w:val="0A2540"/>
          <w:sz w:val="21"/>
          <w:szCs w:val="21"/>
        </w:rPr>
        <w:t xml:space="preserve">Honest by design: </w:t>
      </w:r>
      <w:r>
        <w:rPr>
          <w:rFonts w:ascii="Calibri" w:cs="Calibri" w:eastAsia="Calibri" w:hAnsi="Calibri"/>
          <w:color w:val="28251D"/>
          <w:sz w:val="21"/>
          <w:szCs w:val="21"/>
        </w:rPr>
        <w:t xml:space="preserve">public, aggregate data only — never private personal information — and nothing is ever fabricated.</w:t>
      </w:r>
    </w:p>
    <w:p>
      <w:pPr>
        <w:pBdr>
          <w:bottom w:val="single" w:color="D4D1CA" w:sz="6" w:space="4"/>
        </w:pBdr>
        <w:spacing w:after="100" w:before="260"/>
      </w:pPr>
      <w:r>
        <w:rPr>
          <w:rFonts w:ascii="Calibri" w:cs="Calibri" w:eastAsia="Calibri" w:hAnsi="Calibri"/>
          <w:b/>
          <w:bCs/>
          <w:color w:val="0A2540"/>
          <w:sz w:val="26"/>
          <w:szCs w:val="26"/>
        </w:rPr>
        <w:t xml:space="preserve">How to log in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A6B7C"/>
          <w:sz w:val="19"/>
          <w:szCs w:val="19"/>
        </w:rPr>
        <w:t xml:space="preserve">Open the link below in any browser (Chrome, Safari, Edge — phone or laptop). It is a private, login-gated console, not a public website.</w:t>
      </w:r>
    </w:p>
    <w:tbl>
      <w:tblPr>
        <w:tblW w:type="pct" w:w="100%"/>
        <w:tblBorders>
          <w:top w:val="single" w:color="D4D1CA" w:sz="6"/>
          <w:left w:val="single" w:color="D4D1CA" w:sz="6"/>
          <w:bottom w:val="single" w:color="D4D1CA" w:sz="6"/>
          <w:right w:val="single" w:color="D4D1CA" w:sz="6"/>
          <w:insideH w:val="single" w:color="D4D1CA" w:sz="6"/>
          <w:insideV w:val="single" w:color="D4D1CA" w:sz="6"/>
        </w:tblBorders>
      </w:tblPr>
      <w:tblGrid>
        <w:gridCol w:w="3200"/>
        <w:gridCol w:w="6400"/>
      </w:tblGrid>
      <w:tr>
        <w:tc>
          <w:tcPr>
            <w:shd w:fill="EFF3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A2540"/>
                <w:sz w:val="21"/>
                <w:szCs w:val="21"/>
              </w:rPr>
              <w:t xml:space="preserve">Web address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8251D"/>
                <w:sz w:val="21"/>
                <w:szCs w:val="21"/>
              </w:rPr>
              <w:t xml:space="preserve">https://szlholdings-david-leads.hf.space</w:t>
            </w:r>
          </w:p>
        </w:tc>
      </w:tr>
      <w:tr>
        <w:tc>
          <w:tcPr>
            <w:shd w:fill="EFF3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A2540"/>
                <w:sz w:val="21"/>
                <w:szCs w:val="21"/>
              </w:rPr>
              <w:t xml:space="preserve">Credentials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8251D"/>
                <w:sz w:val="21"/>
                <w:szCs w:val="21"/>
              </w:rPr>
              <w:t xml:space="preserve">Retrieve from Stephen's approved secret store</w:t>
            </w:r>
          </w:p>
        </w:tc>
      </w:tr>
      <w:tr>
        <w:tc>
          <w:tcPr>
            <w:shd w:fill="EFF3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A2540"/>
                <w:sz w:val="21"/>
                <w:szCs w:val="21"/>
              </w:rPr>
              <w:t xml:space="preserve">Security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8251D"/>
                <w:sz w:val="21"/>
                <w:szCs w:val="21"/>
              </w:rPr>
              <w:t xml:space="preserve">Never share credentials in email, chat, or public documents</w:t>
            </w:r>
          </w:p>
        </w:tc>
      </w:tr>
    </w:tbl>
    <w:p>
      <w:pPr>
        <w:spacing w:after="120" w:before="120"/>
      </w:pPr>
      <w:hyperlink w:history="1" r:id="rIdsbzl-ayavqcqlre9wpori">
        <w:r>
          <w:rPr>
            <w:rFonts w:ascii="Calibri" w:cs="Calibri" w:eastAsia="Calibri" w:hAnsi="Calibri"/>
            <w:b/>
            <w:bCs/>
            <w:color w:val="168F89"/>
            <w:sz w:val="22"/>
            <w:szCs w:val="22"/>
            <w:u w:val="single"/>
          </w:rPr>
          <w:t xml:space="preserve">→ Open David Leads</w:t>
        </w:r>
      </w:hyperlink>
    </w:p>
    <w:p>
      <w:pPr>
        <w:spacing w:after="120"/>
      </w:pPr>
      <w:r>
        <w:rPr>
          <w:rFonts w:ascii="Calibri" w:cs="Calibri" w:eastAsia="Calibri" w:hAnsi="Calibri"/>
          <w:i/>
          <w:iCs/>
          <w:color w:val="5A6B7C"/>
          <w:sz w:val="18"/>
          <w:szCs w:val="18"/>
        </w:rPr>
        <w:t xml:space="preserve">Tip: the console may take ~20–30 seconds to wake up on the very first visit. Give it a moment, then log in.</w:t>
      </w:r>
    </w:p>
    <w:p>
      <w:pPr>
        <w:pBdr>
          <w:bottom w:val="single" w:color="D4D1CA" w:sz="6" w:space="4"/>
        </w:pBdr>
        <w:spacing w:after="100" w:before="260"/>
      </w:pPr>
      <w:r>
        <w:rPr>
          <w:rFonts w:ascii="Calibri" w:cs="Calibri" w:eastAsia="Calibri" w:hAnsi="Calibri"/>
          <w:b/>
          <w:bCs/>
          <w:color w:val="0A2540"/>
          <w:sz w:val="26"/>
          <w:szCs w:val="26"/>
        </w:rPr>
        <w:t xml:space="preserve">A 7-step guided tour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rFonts w:ascii="Calibri" w:cs="Calibri" w:eastAsia="Calibri" w:hAnsi="Calibri"/>
          <w:b/>
          <w:bCs/>
          <w:color w:val="0A2540"/>
          <w:sz w:val="21"/>
          <w:szCs w:val="21"/>
        </w:rPr>
        <w:t xml:space="preserve">1. Find leads.  </w:t>
      </w:r>
      <w:r>
        <w:rPr>
          <w:rFonts w:ascii="Calibri" w:cs="Calibri" w:eastAsia="Calibri" w:hAnsi="Calibri"/>
          <w:color w:val="28251D"/>
          <w:sz w:val="21"/>
          <w:szCs w:val="21"/>
        </w:rPr>
        <w:t xml:space="preserve">Click "Find Leads." In seconds it scans public records across the East Coast — new businesses, new licenses, home purchases, building permits, and more — and finds the people who just had a life event that creates an insurance need.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rFonts w:ascii="Calibri" w:cs="Calibri" w:eastAsia="Calibri" w:hAnsi="Calibri"/>
          <w:b/>
          <w:bCs/>
          <w:color w:val="0A2540"/>
          <w:sz w:val="21"/>
          <w:szCs w:val="21"/>
        </w:rPr>
        <w:t xml:space="preserve">2. See your territory.  </w:t>
      </w:r>
      <w:r>
        <w:rPr>
          <w:rFonts w:ascii="Calibri" w:cs="Calibri" w:eastAsia="Calibri" w:hAnsi="Calibri"/>
          <w:color w:val="28251D"/>
          <w:sz w:val="21"/>
          <w:szCs w:val="21"/>
        </w:rPr>
        <w:t xml:space="preserve">Click "Coverage Map" to see your states light up by how much activity is happening. Where we don't yet have live data, we say so plainly — we never pretend to have data we don't.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rFonts w:ascii="Calibri" w:cs="Calibri" w:eastAsia="Calibri" w:hAnsi="Calibri"/>
          <w:b/>
          <w:bCs/>
          <w:color w:val="0A2540"/>
          <w:sz w:val="21"/>
          <w:szCs w:val="21"/>
        </w:rPr>
        <w:t xml:space="preserve">3. Read the ranked leads.  </w:t>
      </w:r>
      <w:r>
        <w:rPr>
          <w:rFonts w:ascii="Calibri" w:cs="Calibri" w:eastAsia="Calibri" w:hAnsi="Calibri"/>
          <w:color w:val="28251D"/>
          <w:sz w:val="21"/>
          <w:szCs w:val="21"/>
        </w:rPr>
        <w:t xml:space="preserve">Each lead shows a Hot / Warm / Nurture badge, the matched New York Life product, an illustrative annual premium, an "Act now" flag for time-sensitive ones, plus its momentum (heating up, cooling off, or steady), a confidence level (High / Medium), and how many public records confirm it. The strongest, best-confirmed leads rise to the top.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rFonts w:ascii="Calibri" w:cs="Calibri" w:eastAsia="Calibri" w:hAnsi="Calibri"/>
          <w:b/>
          <w:bCs/>
          <w:color w:val="0A2540"/>
          <w:sz w:val="21"/>
          <w:szCs w:val="21"/>
        </w:rPr>
        <w:t xml:space="preserve">4. Expand a lead.  </w:t>
      </w:r>
      <w:r>
        <w:rPr>
          <w:rFonts w:ascii="Calibri" w:cs="Calibri" w:eastAsia="Calibri" w:hAnsi="Calibri"/>
          <w:color w:val="28251D"/>
          <w:sz w:val="21"/>
          <w:szCs w:val="21"/>
        </w:rPr>
        <w:t xml:space="preserve">Click the ▸ arrow on any lead to see why they surfaced, the public records behind them, an estimate of their wealth, and your next best action — with a ready-to-use talk track you can read straight off the screen.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rFonts w:ascii="Calibri" w:cs="Calibri" w:eastAsia="Calibri" w:hAnsi="Calibri"/>
          <w:b/>
          <w:bCs/>
          <w:color w:val="0A2540"/>
          <w:sz w:val="21"/>
          <w:szCs w:val="21"/>
        </w:rPr>
        <w:t xml:space="preserve">5. Open the Call Brief.  </w:t>
      </w:r>
      <w:r>
        <w:rPr>
          <w:rFonts w:ascii="Calibri" w:cs="Calibri" w:eastAsia="Calibri" w:hAnsi="Calibri"/>
          <w:color w:val="28251D"/>
          <w:sz w:val="21"/>
          <w:szCs w:val="21"/>
        </w:rPr>
        <w:t xml:space="preserve">Click "Call Brief" on your top lead. You get a short, ready-to-use brief — who to call, why now, three opening lines, and what to be sensitive about — so you can pick up the phone with confidence.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rFonts w:ascii="Calibri" w:cs="Calibri" w:eastAsia="Calibri" w:hAnsi="Calibri"/>
          <w:b/>
          <w:bCs/>
          <w:color w:val="0A2540"/>
          <w:sz w:val="21"/>
          <w:szCs w:val="21"/>
        </w:rPr>
        <w:t xml:space="preserve">6. Check the proof.  </w:t>
      </w:r>
      <w:r>
        <w:rPr>
          <w:rFonts w:ascii="Calibri" w:cs="Calibri" w:eastAsia="Calibri" w:hAnsi="Calibri"/>
          <w:color w:val="28251D"/>
          <w:sz w:val="21"/>
          <w:szCs w:val="21"/>
        </w:rPr>
        <w:t xml:space="preserve">Click "Proof &amp; Sources" on any lead. You'll see a clear panel confirming the lead comes from public records, lists every source, and shows nothing was invented. This is what you can show compliance.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rFonts w:ascii="Calibri" w:cs="Calibri" w:eastAsia="Calibri" w:hAnsi="Calibri"/>
          <w:b/>
          <w:bCs/>
          <w:color w:val="0A2540"/>
          <w:sz w:val="21"/>
          <w:szCs w:val="21"/>
        </w:rPr>
        <w:t xml:space="preserve">7. See how it works &amp; export.  </w:t>
      </w:r>
      <w:r>
        <w:rPr>
          <w:rFonts w:ascii="Calibri" w:cs="Calibri" w:eastAsia="Calibri" w:hAnsi="Calibri"/>
          <w:color w:val="28251D"/>
          <w:sz w:val="21"/>
          <w:szCs w:val="21"/>
        </w:rPr>
        <w:t xml:space="preserve">"How scoring works" explains, in plain English, the five things that make a lead strong and the public records behind each. "Export CSV" downloads your call list as a spreadsheet. "Push to CRM" sends your leads into your CRM.</w:t>
      </w:r>
    </w:p>
    <w:p>
      <w:pPr>
        <w:pBdr>
          <w:bottom w:val="single" w:color="D4D1CA" w:sz="6" w:space="4"/>
        </w:pBdr>
        <w:spacing w:after="100" w:before="260"/>
      </w:pPr>
      <w:r>
        <w:rPr>
          <w:rFonts w:ascii="Calibri" w:cs="Calibri" w:eastAsia="Calibri" w:hAnsi="Calibri"/>
          <w:b/>
          <w:bCs/>
          <w:color w:val="0A2540"/>
          <w:sz w:val="26"/>
          <w:szCs w:val="26"/>
        </w:rPr>
        <w:t xml:space="preserve">Real prospects you can act on today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A6B7C"/>
          <w:sz w:val="19"/>
          <w:szCs w:val="19"/>
        </w:rPr>
        <w:t xml:space="preserve">Click "Real Businesses" in the toolbar. This pulls real, currently-filed public business and professional-license records live from state portals across New York, New Jersey, Pennsylvania, Maryland, Delaware, and Connecticut — actual businesses with their public address and a suggested New York Life angle (key-person, buy-sell, business-continuation, disability overhead, or starter life + disability for newly-licensed professionals).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rFonts w:ascii="Calibri" w:cs="Calibri" w:eastAsia="Calibri" w:hAnsi="Calibri"/>
          <w:color w:val="28251D"/>
          <w:sz w:val="21"/>
          <w:szCs w:val="21"/>
        </w:rPr>
        <w:t xml:space="preserve">Each row is a real public record — real business name, category, public business address, and a link to the official source. Every row has a "Proof &amp; Sources" button so you can see exactly where it came from.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rFonts w:ascii="Calibri" w:cs="Calibri" w:eastAsia="Calibri" w:hAnsi="Calibri"/>
          <w:b/>
          <w:bCs/>
          <w:color w:val="0A2540"/>
          <w:sz w:val="21"/>
          <w:szCs w:val="21"/>
        </w:rPr>
        <w:t xml:space="preserve">Compliant by design.  </w:t>
      </w:r>
      <w:r>
        <w:rPr>
          <w:rFonts w:ascii="Calibri" w:cs="Calibri" w:eastAsia="Calibri" w:hAnsi="Calibri"/>
          <w:color w:val="28251D"/>
          <w:sz w:val="21"/>
          <w:szCs w:val="21"/>
        </w:rPr>
        <w:t xml:space="preserve">It uses public BUSINESS records only — no private personal phone numbers, no social media, nothing fabricated. You do your own compliant outreach (look up the business, no auto-dialing).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rFonts w:ascii="Calibri" w:cs="Calibri" w:eastAsia="Calibri" w:hAnsi="Calibri"/>
          <w:b/>
          <w:bCs/>
          <w:color w:val="0A2540"/>
          <w:sz w:val="21"/>
          <w:szCs w:val="21"/>
        </w:rPr>
        <w:t xml:space="preserve">Growing.  </w:t>
      </w:r>
      <w:r>
        <w:rPr>
          <w:rFonts w:ascii="Calibri" w:cs="Calibri" w:eastAsia="Calibri" w:hAnsi="Calibri"/>
          <w:color w:val="28251D"/>
          <w:sz w:val="21"/>
          <w:szCs w:val="21"/>
        </w:rPr>
        <w:t xml:space="preserve">This is the start: more states and record types are easy to add, plus an opt-in web form so prospects who want to hear from you come to you directly.</w:t>
      </w:r>
    </w:p>
    <w:p>
      <w:pPr>
        <w:pBdr>
          <w:bottom w:val="single" w:color="D4D1CA" w:sz="6" w:space="4"/>
        </w:pBdr>
        <w:spacing w:after="100" w:before="260"/>
      </w:pPr>
      <w:r>
        <w:rPr>
          <w:rFonts w:ascii="Calibri" w:cs="Calibri" w:eastAsia="Calibri" w:hAnsi="Calibri"/>
          <w:b/>
          <w:bCs/>
          <w:color w:val="0A2540"/>
          <w:sz w:val="26"/>
          <w:szCs w:val="26"/>
        </w:rPr>
        <w:t xml:space="preserve">Where need is rising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A6B7C"/>
          <w:sz w:val="19"/>
          <w:szCs w:val="19"/>
        </w:rPr>
        <w:t xml:space="preserve">Click "Rising Areas" in the toolbar to see, at a glance, which areas have more new activity than usual right now — more new homeowners and businesses means more people who just took on a new obligation and need coverage. Each area is marked Rising, Steady, or Quiet, in plain language, with a link to the public source behind it. It tells you where to focus your week.</w:t>
      </w:r>
    </w:p>
    <w:p>
      <w:pPr>
        <w:pBdr>
          <w:bottom w:val="single" w:color="D4D1CA" w:sz="6" w:space="4"/>
        </w:pBdr>
        <w:spacing w:after="100" w:before="260"/>
      </w:pPr>
      <w:r>
        <w:rPr>
          <w:rFonts w:ascii="Calibri" w:cs="Calibri" w:eastAsia="Calibri" w:hAnsi="Calibri"/>
          <w:b/>
          <w:bCs/>
          <w:color w:val="0A2540"/>
          <w:sz w:val="26"/>
          <w:szCs w:val="26"/>
        </w:rPr>
        <w:t xml:space="preserve">The wealth map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A6B7C"/>
          <w:sz w:val="19"/>
          <w:szCs w:val="19"/>
        </w:rPr>
        <w:t xml:space="preserve">Click "Wealth Map" in the toolbar. You asked whether taxes could help find leads — they can. This reads free public IRS tax statistics to point you at the right neighborhoods, never named individuals. Two views: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rFonts w:ascii="Calibri" w:cs="Calibri" w:eastAsia="Calibri" w:hAnsi="Calibri"/>
          <w:b/>
          <w:bCs/>
          <w:color w:val="0A2540"/>
          <w:sz w:val="21"/>
          <w:szCs w:val="21"/>
        </w:rPr>
        <w:t xml:space="preserve">1. Affluent ZIPs.  </w:t>
      </w:r>
      <w:r>
        <w:rPr>
          <w:rFonts w:ascii="Calibri" w:cs="Calibri" w:eastAsia="Calibri" w:hAnsi="Calibri"/>
          <w:color w:val="28251D"/>
          <w:sz w:val="21"/>
          <w:szCs w:val="21"/>
        </w:rPr>
        <w:t xml:space="preserve">Ranked ZIP codes where the most households file high-income returns ($200k+ adjusted gross income). Top of your list today is ZIP 10023 in Manhattan — about 11,500 high-income returns, roughly a third of all filers there. The suggested angle is estate planning, premium-financed life, and annuities. These are affluent-territory targets, drawn from IRS Statistics of Income by ZIP code.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rFonts w:ascii="Calibri" w:cs="Calibri" w:eastAsia="Calibri" w:hAnsi="Calibri"/>
          <w:b/>
          <w:bCs/>
          <w:color w:val="0A2540"/>
          <w:sz w:val="21"/>
          <w:szCs w:val="21"/>
        </w:rPr>
        <w:t xml:space="preserve">2. Money-in-motion counties.  </w:t>
      </w:r>
      <w:r>
        <w:rPr>
          <w:rFonts w:ascii="Calibri" w:cs="Calibri" w:eastAsia="Calibri" w:hAnsi="Calibri"/>
          <w:color w:val="28251D"/>
          <w:sz w:val="21"/>
          <w:szCs w:val="21"/>
        </w:rPr>
        <w:t xml:space="preserve">Counties seeing the biggest inflow of people and income from elsewhere — a relocation is a classic trigger for an estate and coverage review. Top today is New York County, with about $14.8 billion in adjusted gross income moving in (≈77,900 returns), drawn from IRS county-to-county migration data. The angle is a new-resident coverage review.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rFonts w:ascii="Calibri" w:cs="Calibri" w:eastAsia="Calibri" w:hAnsi="Calibri"/>
          <w:b/>
          <w:bCs/>
          <w:color w:val="0A2540"/>
          <w:sz w:val="21"/>
          <w:szCs w:val="21"/>
        </w:rPr>
        <w:t xml:space="preserve">Compliant by design.  </w:t>
      </w:r>
      <w:r>
        <w:rPr>
          <w:rFonts w:ascii="Calibri" w:cs="Calibri" w:eastAsia="Calibri" w:hAnsi="Calibri"/>
          <w:color w:val="28251D"/>
          <w:sz w:val="21"/>
          <w:szCs w:val="21"/>
        </w:rPr>
        <w:t xml:space="preserve">This uses aggregate IRS tax statistics for territory targeting only — it never names a person and never uses anyone's private tax data. It tells you where to focus, then you prospect compliantly in those areas.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rFonts w:ascii="Calibri" w:cs="Calibri" w:eastAsia="Calibri" w:hAnsi="Calibri"/>
          <w:b/>
          <w:bCs/>
          <w:color w:val="0A2540"/>
          <w:sz w:val="21"/>
          <w:szCs w:val="21"/>
        </w:rPr>
        <w:t xml:space="preserve">Provable.  </w:t>
      </w:r>
      <w:r>
        <w:rPr>
          <w:rFonts w:ascii="Calibri" w:cs="Calibri" w:eastAsia="Calibri" w:hAnsi="Calibri"/>
          <w:color w:val="28251D"/>
          <w:sz w:val="21"/>
          <w:szCs w:val="21"/>
        </w:rPr>
        <w:t xml:space="preserve">Every row links to the official IRS source so you can check it yourself, same as your leads.</w:t>
      </w:r>
    </w:p>
    <w:p>
      <w:pPr>
        <w:pBdr>
          <w:bottom w:val="single" w:color="D4D1CA" w:sz="6" w:space="4"/>
        </w:pBdr>
        <w:spacing w:after="100" w:before="260"/>
      </w:pPr>
      <w:r>
        <w:rPr>
          <w:rFonts w:ascii="Calibri" w:cs="Calibri" w:eastAsia="Calibri" w:hAnsi="Calibri"/>
          <w:b/>
          <w:bCs/>
          <w:color w:val="0A2540"/>
          <w:sz w:val="26"/>
          <w:szCs w:val="26"/>
        </w:rPr>
        <w:t xml:space="preserve">Let prospects come to you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A6B7C"/>
          <w:sz w:val="19"/>
          <w:szCs w:val="19"/>
        </w:rPr>
        <w:t xml:space="preserve">Click "Opt-In" in the toolbar. This is the cleanest way to get a real name and a real phone number you can call — because the prospect gives it to you and asks to be contacted.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rFonts w:ascii="Calibri" w:cs="Calibri" w:eastAsia="Calibri" w:hAnsi="Calibri"/>
          <w:b/>
          <w:bCs/>
          <w:color w:val="0A2540"/>
          <w:sz w:val="21"/>
          <w:szCs w:val="21"/>
        </w:rPr>
        <w:t xml:space="preserve">How it works.  </w:t>
      </w:r>
      <w:r>
        <w:rPr>
          <w:rFonts w:ascii="Calibri" w:cs="Calibri" w:eastAsia="Calibri" w:hAnsi="Calibri"/>
          <w:color w:val="28251D"/>
          <w:sz w:val="21"/>
          <w:szCs w:val="21"/>
        </w:rPr>
        <w:t xml:space="preserve">Anyone interested fills in their name, phone, email, and a note, and checks a box consenting to be contacted. Their details are only saved if they check that box — no consent, nothing is stored.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rFonts w:ascii="Calibri" w:cs="Calibri" w:eastAsia="Calibri" w:hAnsi="Calibri"/>
          <w:b/>
          <w:bCs/>
          <w:color w:val="0A2540"/>
          <w:sz w:val="21"/>
          <w:szCs w:val="21"/>
        </w:rPr>
        <w:t xml:space="preserve">Call-ready &amp; compliant.  </w:t>
      </w:r>
      <w:r>
        <w:rPr>
          <w:rFonts w:ascii="Calibri" w:cs="Calibri" w:eastAsia="Calibri" w:hAnsi="Calibri"/>
          <w:color w:val="28251D"/>
          <w:sz w:val="21"/>
          <w:szCs w:val="21"/>
        </w:rPr>
        <w:t xml:space="preserve">Because the prospect opted in, you have written consent on file — the compliant, safe way to call or text. Every opt-in is saved with a record of when and how consent was given.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rFonts w:ascii="Calibri" w:cs="Calibri" w:eastAsia="Calibri" w:hAnsi="Calibri"/>
          <w:b/>
          <w:bCs/>
          <w:color w:val="0A2540"/>
          <w:sz w:val="21"/>
          <w:szCs w:val="21"/>
        </w:rPr>
        <w:t xml:space="preserve">Share it anywhere.  </w:t>
      </w:r>
      <w:r>
        <w:rPr>
          <w:rFonts w:ascii="Calibri" w:cs="Calibri" w:eastAsia="Calibri" w:hAnsi="Calibri"/>
          <w:color w:val="28251D"/>
          <w:sz w:val="21"/>
          <w:szCs w:val="21"/>
        </w:rPr>
        <w:t xml:space="preserve">Share the form link in your email signature, on a flyer, or after a seminar. The leads land in your console under their own list, ready to call.</w:t>
      </w:r>
    </w:p>
    <w:p>
      <w:pPr>
        <w:pBdr>
          <w:bottom w:val="single" w:color="D4D1CA" w:sz="6" w:space="4"/>
        </w:pBdr>
        <w:spacing w:after="100" w:before="260"/>
      </w:pPr>
      <w:r>
        <w:rPr>
          <w:rFonts w:ascii="Calibri" w:cs="Calibri" w:eastAsia="Calibri" w:hAnsi="Calibri"/>
          <w:b/>
          <w:bCs/>
          <w:color w:val="0A2540"/>
          <w:sz w:val="26"/>
          <w:szCs w:val="26"/>
        </w:rPr>
        <w:t xml:space="preserve">What makes this different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rFonts w:ascii="Calibri" w:cs="Calibri" w:eastAsia="Calibri" w:hAnsi="Calibri"/>
          <w:b/>
          <w:bCs/>
          <w:color w:val="0A2540"/>
          <w:sz w:val="21"/>
          <w:szCs w:val="21"/>
        </w:rPr>
        <w:t xml:space="preserve">Provable.  </w:t>
      </w:r>
      <w:r>
        <w:rPr>
          <w:rFonts w:ascii="Calibri" w:cs="Calibri" w:eastAsia="Calibri" w:hAnsi="Calibri"/>
          <w:color w:val="28251D"/>
          <w:sz w:val="21"/>
          <w:szCs w:val="21"/>
        </w:rPr>
        <w:t xml:space="preserve">Every lead carries a proof trail — you can show compliance exactly where each detail came from.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rFonts w:ascii="Calibri" w:cs="Calibri" w:eastAsia="Calibri" w:hAnsi="Calibri"/>
          <w:b/>
          <w:bCs/>
          <w:color w:val="0A2540"/>
          <w:sz w:val="21"/>
          <w:szCs w:val="21"/>
        </w:rPr>
        <w:t xml:space="preserve">Public-data only.  </w:t>
      </w:r>
      <w:r>
        <w:rPr>
          <w:rFonts w:ascii="Calibri" w:cs="Calibri" w:eastAsia="Calibri" w:hAnsi="Calibri"/>
          <w:color w:val="28251D"/>
          <w:sz w:val="21"/>
          <w:szCs w:val="21"/>
        </w:rPr>
        <w:t xml:space="preserve">It only uses free, public information. No private personal data, ever. Anyone who can't be contacted is removed automatically.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rFonts w:ascii="Calibri" w:cs="Calibri" w:eastAsia="Calibri" w:hAnsi="Calibri"/>
          <w:b/>
          <w:bCs/>
          <w:color w:val="0A2540"/>
          <w:sz w:val="21"/>
          <w:szCs w:val="21"/>
        </w:rPr>
        <w:t xml:space="preserve">Transparent.  </w:t>
      </w:r>
      <w:r>
        <w:rPr>
          <w:rFonts w:ascii="Calibri" w:cs="Calibri" w:eastAsia="Calibri" w:hAnsi="Calibri"/>
          <w:color w:val="28251D"/>
          <w:sz w:val="21"/>
          <w:szCs w:val="21"/>
        </w:rPr>
        <w:t xml:space="preserve">Nothing is hidden — "How scoring works" explains, in plain English, exactly what makes a lead strong.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rFonts w:ascii="Calibri" w:cs="Calibri" w:eastAsia="Calibri" w:hAnsi="Calibri"/>
          <w:b/>
          <w:bCs/>
          <w:color w:val="0A2540"/>
          <w:sz w:val="21"/>
          <w:szCs w:val="21"/>
        </w:rPr>
        <w:t xml:space="preserve">Actionable.  </w:t>
      </w:r>
      <w:r>
        <w:rPr>
          <w:rFonts w:ascii="Calibri" w:cs="Calibri" w:eastAsia="Calibri" w:hAnsi="Calibri"/>
          <w:color w:val="28251D"/>
          <w:sz w:val="21"/>
          <w:szCs w:val="21"/>
        </w:rPr>
        <w:t xml:space="preserve">It tells you not just who, but when to reach them and what to say.</w:t>
      </w:r>
    </w:p>
    <w:p>
      <w:pPr>
        <w:pBdr>
          <w:bottom w:val="single" w:color="D4D1CA" w:sz="6" w:space="4"/>
        </w:pBdr>
        <w:spacing w:after="100" w:before="260"/>
      </w:pPr>
      <w:r>
        <w:rPr>
          <w:rFonts w:ascii="Calibri" w:cs="Calibri" w:eastAsia="Calibri" w:hAnsi="Calibri"/>
          <w:b/>
          <w:bCs/>
          <w:color w:val="0A2540"/>
          <w:sz w:val="26"/>
          <w:szCs w:val="26"/>
        </w:rPr>
        <w:t xml:space="preserve">A few honest notes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rFonts w:ascii="Calibri" w:cs="Calibri" w:eastAsia="Calibri" w:hAnsi="Calibri"/>
          <w:color w:val="28251D"/>
          <w:sz w:val="21"/>
          <w:szCs w:val="21"/>
        </w:rPr>
        <w:t xml:space="preserve">Premium and pipeline figures are illustrative estimates.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rFonts w:ascii="Calibri" w:cs="Calibri" w:eastAsia="Calibri" w:hAnsi="Calibri"/>
          <w:color w:val="28251D"/>
          <w:sz w:val="21"/>
          <w:szCs w:val="21"/>
        </w:rPr>
        <w:t xml:space="preserve">Wealth tiers are estimated from public records (property assessments, Census income, public-company insider status).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rFonts w:ascii="Calibri" w:cs="Calibri" w:eastAsia="Calibri" w:hAnsi="Calibri"/>
          <w:color w:val="28251D"/>
          <w:sz w:val="21"/>
          <w:szCs w:val="21"/>
        </w:rPr>
        <w:t xml:space="preserve">The lapse-risk indicator is a guide only — it is not a credit decision and uses no credit data.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rFonts w:ascii="Calibri" w:cs="Calibri" w:eastAsia="Calibri" w:hAnsi="Calibri"/>
          <w:color w:val="28251D"/>
          <w:sz w:val="21"/>
          <w:szCs w:val="21"/>
        </w:rPr>
        <w:t xml:space="preserve">When an area or source is marked "example" or "not yet covered," that is the system being honest about what it could and couldn't pull live — it never pretends.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rFonts w:ascii="Calibri" w:cs="Calibri" w:eastAsia="Calibri" w:hAnsi="Calibri"/>
          <w:color w:val="28251D"/>
          <w:sz w:val="21"/>
          <w:szCs w:val="21"/>
        </w:rPr>
        <w:t xml:space="preserve">Confidence levels (High / Medium) reflect how many public records confirm a lead — more confirming records means higher confidence. They are honest estimates, not guarantees.</w:t>
      </w:r>
    </w:p>
    <w:p>
      <w:pPr>
        <w:pBdr>
          <w:top w:val="single" w:color="D4D1CA" w:sz="6" w:space="6"/>
        </w:pBdr>
        <w:spacing w:after="40" w:before="280"/>
      </w:pPr>
      <w:r>
        <w:rPr>
          <w:rFonts w:ascii="Calibri" w:cs="Calibri" w:eastAsia="Calibri" w:hAnsi="Calibri"/>
          <w:b/>
          <w:bCs/>
          <w:color w:val="0A2540"/>
          <w:sz w:val="21"/>
          <w:szCs w:val="21"/>
        </w:rPr>
        <w:t xml:space="preserve">In one sentence: </w:t>
      </w:r>
      <w:r>
        <w:rPr>
          <w:rFonts w:ascii="Calibri" w:cs="Calibri" w:eastAsia="Calibri" w:hAnsi="Calibri"/>
          <w:i/>
          <w:iCs/>
          <w:color w:val="28251D"/>
          <w:sz w:val="21"/>
          <w:szCs w:val="21"/>
        </w:rPr>
        <w:t xml:space="preserve">this finds your best prospects the moment their need appears, tells you why and what to say, and lets you prove every word.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A6B7C"/>
          <w:sz w:val="17"/>
          <w:szCs w:val="17"/>
        </w:rPr>
        <w:t xml:space="preserve">Prepared by SZL Holdings · public-data only · honest by design · © 2026</w:t>
      </w:r>
    </w:p>
    <w:sectPr>
      <w:pgSz w:w="11906" w:h="16838" w:orient="portrait"/>
      <w:pgMar w:top="900" w:right="1000" w:bottom="9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8251D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sbzl-ayavqcqlre9wpori" Type="http://schemas.openxmlformats.org/officeDocument/2006/relationships/hyperlink" Target="https://szlholdings-david-leads.hf.space" TargetMode="Externa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2026-07-28T16:27:35.652Z</dcterms:created>
  <dcterms:modified xsi:type="dcterms:W3CDTF">2026-07-28T16:27:35.653Z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