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B78327"/>
          <w:sz w:val="19"/>
        </w:rPr>
        <w:t>BROKER ENABLEMENT PACK</w:t>
      </w:r>
    </w:p>
    <w:p>
      <w:pPr>
        <w:pStyle w:val="Title"/>
      </w:pPr>
      <w:r>
        <w:t>David Leads</w:t>
      </w:r>
    </w:p>
    <w:p>
      <w:pPr>
        <w:pStyle w:val="Subtitle"/>
      </w:pPr>
      <w:r>
        <w:t>A plain-English field guide for Evidence-Backed Broker Research</w:t>
      </w:r>
    </w:p>
    <w:p>
      <w:pPr>
        <w:spacing w:after="360"/>
      </w:pPr>
      <w:r>
        <w:rPr>
          <w:rFonts w:ascii="Calibri" w:hAnsi="Calibri"/>
          <w:b/>
          <w:color w:val="5A6B7C"/>
          <w:sz w:val="21"/>
        </w:rPr>
        <w:t>Prepared for David Abraham  |  Live state must be verified at demo time</w:t>
      </w:r>
    </w:p>
    <w:p>
      <w:pPr>
        <w:spacing w:before="80" w:after="200" w:line="288" w:lineRule="auto"/>
        <w:shd w:fill="E8F6F4" w:val="clear"/>
        <w:pBdr>
          <w:left w:val="single" w:sz="18" w:space="8" w:color="168F89"/>
        </w:pBdr>
        <w:ind w:left="180" w:right="120"/>
      </w:pPr>
      <w:r>
        <w:rPr>
          <w:rFonts w:ascii="Calibri" w:hAnsi="Calibri"/>
          <w:b/>
          <w:color w:val="0A2540"/>
        </w:rPr>
        <w:t xml:space="preserve">Start here: </w:t>
      </w:r>
      <w:r>
        <w:rPr>
          <w:rFonts w:ascii="Calibri" w:hAnsi="Calibri"/>
          <w:color w:val="1F2933"/>
        </w:rPr>
        <w:t>Viewing the live research workspace does not require a username, password, or access key. Open the web address below in Chrome, Edge, Safari, or a phone browser.</w:t>
      </w:r>
    </w:p>
    <w:p>
      <w:pPr>
        <w:spacing w:after="320"/>
      </w:pPr>
      <w:hyperlink r:id="rId11">
        <w:r>
          <w:rPr>
            <w:color w:val="168F89"/>
            <w:u w:val="single"/>
            <w:b/>
            <w:rFonts w:ascii="Calibri" w:hAnsi="Calibri"/>
            <w:sz w:val="22"/>
          </w:rPr>
          <w:t>Open David Leads</w:t>
        </w:r>
      </w:hyperlink>
    </w:p>
    <w:p>
      <w:pPr>
        <w:pStyle w:val="Heading1"/>
        <w:keepNext/>
      </w:pPr>
      <w:r>
        <w:t>What David Leads does</w:t>
      </w:r>
    </w:p>
    <w:p>
      <w:pPr>
        <w:spacing w:after="120" w:line="300" w:lineRule="auto"/>
      </w:pPr>
      <w:r>
        <w:rPr>
          <w:rFonts w:ascii="Calibri" w:hAnsi="Calibri"/>
          <w:i w:val="0"/>
          <w:color w:val="1F2933"/>
        </w:rPr>
        <w:t>It gathers current organization-level records from official public sources, shows the business event that changed, explains why the timing may deserve research, and links back to the source record. It is a research desk, not a purchased contact list.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 w:val="0"/>
          <w:color w:val="0A2540"/>
        </w:rPr>
        <w:t xml:space="preserve">• </w:t>
      </w:r>
      <w:r>
        <w:rPr>
          <w:rFonts w:ascii="Calibri" w:hAnsi="Calibri"/>
          <w:color w:val="1F2933"/>
        </w:rPr>
        <w:t>Choose all 27 Eastern markets, a region, or one state.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 w:val="0"/>
          <w:color w:val="0A2540"/>
        </w:rPr>
        <w:t xml:space="preserve">• </w:t>
      </w:r>
      <w:r>
        <w:rPr>
          <w:rFonts w:ascii="Calibri" w:hAnsi="Calibri"/>
          <w:color w:val="1F2933"/>
        </w:rPr>
        <w:t>See live business and facility records with source links and receipts.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 w:val="0"/>
          <w:color w:val="0A2540"/>
        </w:rPr>
        <w:t xml:space="preserve">• </w:t>
      </w:r>
      <w:r>
        <w:rPr>
          <w:rFonts w:ascii="Calibri" w:hAnsi="Calibri"/>
          <w:color w:val="1F2933"/>
        </w:rPr>
        <w:t>Focus on the strongest timing signals before doing manual research.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 w:val="0"/>
          <w:color w:val="0A2540"/>
        </w:rPr>
        <w:t xml:space="preserve">• </w:t>
      </w:r>
      <w:r>
        <w:rPr>
          <w:rFonts w:ascii="Calibri" w:hAnsi="Calibri"/>
          <w:color w:val="1F2933"/>
        </w:rPr>
        <w:t>Keep every outreach decision behind a human compliance check.</w:t>
      </w:r>
    </w:p>
    <w:p>
      <w:pPr>
        <w:pStyle w:val="Heading2"/>
        <w:keepNext/>
      </w:pPr>
      <w:r>
        <w:t>Live release checklist</w:t>
      </w:r>
    </w:p>
    <w:p>
      <w:pPr>
        <w:spacing w:after="120" w:line="300" w:lineRule="auto"/>
      </w:pPr>
      <w:r>
        <w:rPr>
          <w:rFonts w:ascii="Calibri" w:hAnsi="Calibri"/>
          <w:i/>
          <w:color w:val="5A6B7C"/>
        </w:rPr>
        <w:t>Do not reuse a dated count or source state. Read each value from the running release immediately before the demo.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0A2540" w:val="clea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21"/>
              </w:rPr>
              <w:t>Check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0A2540" w:val="clea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21"/>
              </w:rPr>
              <w:t>Required evidence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Release identity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Match /api/build-info to the intended GitHub revision and release attestation.</w:t>
            </w:r>
          </w:p>
        </w:tc>
      </w:tr>
      <w:tr>
        <w:trPr>
          <w:cantSplit/>
        </w:trPr>
        <w:tc>
          <w:tcPr>
            <w:tcW w:type="dxa" w:w="270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Source health</w:t>
            </w:r>
          </w:p>
        </w:tc>
        <w:tc>
          <w:tcPr>
            <w:tcW w:type="dxa" w:w="666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Read every LIVE, UNAVAILABLE, or NOT_APPLICABLE state from the current Market coverage panel.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Records and samples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Treat the count as a current-pull observation; the active path must return no sample records.</w:t>
            </w:r>
          </w:p>
        </w:tc>
      </w:tr>
      <w:tr>
        <w:trPr>
          <w:cantSplit/>
        </w:trPr>
        <w:tc>
          <w:tcPr>
            <w:tcW w:type="dxa" w:w="270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Readiness</w:t>
            </w:r>
          </w:p>
        </w:tc>
        <w:tc>
          <w:tcPr>
            <w:tcW w:type="dxa" w:w="666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Verify /healthz and /readyz; do not infer readiness from an HTTP 200 alone.</w:t>
            </w:r>
          </w:p>
        </w:tc>
      </w:tr>
    </w:tbl>
    <w:p>
      <w:pPr>
        <w:pStyle w:val="Heading1"/>
        <w:keepNext/>
      </w:pPr>
      <w:r>
        <w:t>Your first five minutes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/>
          <w:color w:val="0A2540"/>
        </w:rPr>
        <w:t xml:space="preserve">1. </w:t>
      </w:r>
      <w:r>
        <w:rPr>
          <w:rFonts w:ascii="Calibri" w:hAnsi="Calibri"/>
          <w:color w:val="1F2933"/>
        </w:rPr>
        <w:t>Open the link. The research workspace loads without a login.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/>
          <w:color w:val="0A2540"/>
        </w:rPr>
        <w:t xml:space="preserve">2. </w:t>
      </w:r>
      <w:r>
        <w:rPr>
          <w:rFonts w:ascii="Calibri" w:hAnsi="Calibri"/>
          <w:color w:val="1F2933"/>
        </w:rPr>
        <w:t>Choose All East, a region, or one state. One state runs a deeper pull.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/>
          <w:color w:val="0A2540"/>
        </w:rPr>
        <w:t xml:space="preserve">3. </w:t>
      </w:r>
      <w:r>
        <w:rPr>
          <w:rFonts w:ascii="Calibri" w:hAnsi="Calibri"/>
          <w:color w:val="1F2933"/>
        </w:rPr>
        <w:t>Read the Broker brief near the top. It points to the strongest current timing pattern.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/>
          <w:color w:val="0A2540"/>
        </w:rPr>
        <w:t xml:space="preserve">4. </w:t>
      </w:r>
      <w:r>
        <w:rPr>
          <w:rFonts w:ascii="Calibri" w:hAnsi="Calibri"/>
          <w:color w:val="1F2933"/>
        </w:rPr>
        <w:t>Use the deal-moment buttons to narrow the list: life-plan timing, growth and awards, operational change, or needs research.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/>
          <w:color w:val="0A2540"/>
        </w:rPr>
        <w:t xml:space="preserve">5. </w:t>
      </w:r>
      <w:r>
        <w:rPr>
          <w:rFonts w:ascii="Calibri" w:hAnsi="Calibri"/>
          <w:color w:val="1F2933"/>
        </w:rPr>
        <w:t>Open an organization to see the public event, likely fit, evidence, limits, and the next research step.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/>
          <w:color w:val="0A2540"/>
        </w:rPr>
        <w:t xml:space="preserve">6. </w:t>
      </w:r>
      <w:r>
        <w:rPr>
          <w:rFonts w:ascii="Calibri" w:hAnsi="Calibri"/>
          <w:color w:val="1F2933"/>
        </w:rPr>
        <w:t>Open the official source before using any claim in a conversation.</w:t>
      </w:r>
    </w:p>
    <w:p>
      <w:pPr>
        <w:pStyle w:val="Heading2"/>
        <w:keepNext/>
      </w:pPr>
      <w:r>
        <w:t>What the screen is telling you</w:t>
      </w:r>
    </w:p>
    <w:p>
      <w:pPr>
        <w:spacing w:after="120" w:line="300" w:lineRule="auto"/>
      </w:pPr>
      <w:r>
        <w:rPr>
          <w:rFonts w:ascii="Calibri" w:hAnsi="Calibri"/>
          <w:b/>
          <w:color w:val="0A2540"/>
        </w:rPr>
        <w:t xml:space="preserve">Live organizations. </w:t>
      </w:r>
      <w:r>
        <w:rPr>
          <w:rFonts w:ascii="Calibri" w:hAnsi="Calibri"/>
          <w:i w:val="0"/>
          <w:color w:val="1F2933"/>
        </w:rPr>
        <w:t>The number of official records in the selected market. The count changes with the territory and source response.</w:t>
      </w:r>
    </w:p>
    <w:p>
      <w:pPr>
        <w:spacing w:after="120" w:line="300" w:lineRule="auto"/>
      </w:pPr>
      <w:r>
        <w:rPr>
          <w:rFonts w:ascii="Calibri" w:hAnsi="Calibri"/>
          <w:b/>
          <w:color w:val="0A2540"/>
        </w:rPr>
        <w:t xml:space="preserve">Source coverage. </w:t>
      </w:r>
      <w:r>
        <w:rPr>
          <w:rFonts w:ascii="Calibri" w:hAnsi="Calibri"/>
          <w:i w:val="0"/>
          <w:color w:val="1F2933"/>
        </w:rPr>
        <w:t>How many source lanes answered live. An unavailable source remains visible; it is never replaced by a fake record.</w:t>
      </w:r>
    </w:p>
    <w:p>
      <w:pPr>
        <w:spacing w:after="120" w:line="300" w:lineRule="auto"/>
      </w:pPr>
      <w:r>
        <w:rPr>
          <w:rFonts w:ascii="Calibri" w:hAnsi="Calibri"/>
          <w:b/>
          <w:color w:val="0A2540"/>
        </w:rPr>
        <w:t xml:space="preserve">Needs research. </w:t>
      </w:r>
      <w:r>
        <w:rPr>
          <w:rFonts w:ascii="Calibri" w:hAnsi="Calibri"/>
          <w:i w:val="0"/>
          <w:color w:val="1F2933"/>
        </w:rPr>
        <w:t>Records worth checking. This is not the number of people cleared for contact.</w:t>
      </w:r>
    </w:p>
    <w:p>
      <w:pPr>
        <w:spacing w:after="120" w:line="300" w:lineRule="auto"/>
      </w:pPr>
      <w:r>
        <w:rPr>
          <w:rFonts w:ascii="Calibri" w:hAnsi="Calibri"/>
          <w:b/>
          <w:color w:val="0A2540"/>
        </w:rPr>
        <w:t xml:space="preserve">Timing window. </w:t>
      </w:r>
      <w:r>
        <w:rPr>
          <w:rFonts w:ascii="Calibri" w:hAnsi="Calibri"/>
          <w:i w:val="0"/>
          <w:color w:val="1F2933"/>
        </w:rPr>
        <w:t>A date or filing field that may make the organization worth researching now. It is not proof of a sale, renewal, dissatisfaction, or insurance need.</w:t>
      </w:r>
    </w:p>
    <w:p>
      <w:pPr>
        <w:spacing w:before="80" w:after="200" w:line="288" w:lineRule="auto"/>
        <w:shd w:fill="FFF7E6" w:val="clear"/>
        <w:pBdr>
          <w:left w:val="single" w:sz="18" w:space="8" w:color="168F89"/>
        </w:pBdr>
        <w:ind w:left="180" w:right="120"/>
      </w:pPr>
      <w:r>
        <w:rPr>
          <w:rFonts w:ascii="Calibri" w:hAnsi="Calibri"/>
          <w:b/>
          <w:color w:val="0A2540"/>
        </w:rPr>
        <w:t xml:space="preserve">The key distinction: </w:t>
      </w:r>
      <w:r>
        <w:rPr>
          <w:rFonts w:ascii="Calibri" w:hAnsi="Calibri"/>
          <w:color w:val="1F2933"/>
        </w:rPr>
        <w:t>A visible public record is permission to research the organization. It is not permission to call, text, email, quote, or recommend a product.</w:t>
      </w:r>
    </w:p>
    <w:p>
      <w:r>
        <w:br w:type="page"/>
      </w:r>
    </w:p>
    <w:p>
      <w:pPr>
        <w:pStyle w:val="Heading1"/>
        <w:keepNext/>
      </w:pPr>
      <w:r>
        <w:t>How to use one opportunity</w:t>
      </w:r>
    </w:p>
    <w:p>
      <w:pPr>
        <w:pStyle w:val="Heading2"/>
        <w:keepNext/>
      </w:pPr>
      <w:r>
        <w:t>1. Verify the moment</w:t>
      </w:r>
    </w:p>
    <w:p>
      <w:pPr>
        <w:spacing w:after="120" w:line="300" w:lineRule="auto"/>
      </w:pPr>
      <w:r>
        <w:rPr>
          <w:rFonts w:ascii="Calibri" w:hAnsi="Calibri"/>
          <w:i w:val="0"/>
          <w:color w:val="1F2933"/>
        </w:rPr>
        <w:t>Open the official source and confirm the organization name, date, location, and the exact event shown. If the record cannot be confirmed, stop and mark it for later research.</w:t>
      </w:r>
    </w:p>
    <w:p>
      <w:pPr>
        <w:pStyle w:val="Heading2"/>
        <w:keepNext/>
      </w:pPr>
      <w:r>
        <w:t>2. Qualify the fit</w:t>
      </w:r>
    </w:p>
    <w:p>
      <w:pPr>
        <w:spacing w:after="120" w:line="300" w:lineRule="auto"/>
      </w:pPr>
      <w:r>
        <w:rPr>
          <w:rFonts w:ascii="Calibri" w:hAnsi="Calibri"/>
          <w:i w:val="0"/>
          <w:color w:val="1F2933"/>
        </w:rPr>
        <w:t>Visit the organization's own website. Understand what it does, whether the public event appears relevant, and whether a business-published channel exists. Treat the suggested product fit as a question to investigate, not an answer.</w:t>
      </w:r>
    </w:p>
    <w:p>
      <w:pPr>
        <w:pStyle w:val="Heading2"/>
        <w:keepNext/>
      </w:pPr>
      <w:r>
        <w:t>3. Clear outreach</w:t>
      </w:r>
    </w:p>
    <w:p>
      <w:pPr>
        <w:spacing w:after="120" w:line="300" w:lineRule="auto"/>
      </w:pPr>
      <w:r>
        <w:rPr>
          <w:rFonts w:ascii="Calibri" w:hAnsi="Calibri"/>
          <w:i w:val="0"/>
          <w:color w:val="1F2933"/>
        </w:rPr>
        <w:t>Before contact, complete the required suppression, licensing, state-rule, purpose, and channel checks in the protected broker workflow. The public workspace intentionally keeps call-ready at zero.</w:t>
      </w:r>
    </w:p>
    <w:p>
      <w:pPr>
        <w:pStyle w:val="Heading2"/>
        <w:keepNext/>
      </w:pPr>
      <w:r>
        <w:t>Read the record correctly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0A2540" w:val="clea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21"/>
              </w:rPr>
              <w:t>Label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0A2540" w:val="clea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21"/>
              </w:rPr>
              <w:t>Plain-English meaning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Source-verified business moment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The fact returned by the official source.</w:t>
            </w:r>
          </w:p>
        </w:tc>
      </w:tr>
      <w:tr>
        <w:tc>
          <w:tcPr>
            <w:tcW w:type="dxa" w:w="270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Why now</w:t>
            </w:r>
          </w:p>
        </w:tc>
        <w:tc>
          <w:tcPr>
            <w:tcW w:type="dxa" w:w="666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Why the event may deserve timely research.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Likely fit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A business question to investigate, not advice or eligibility.</w:t>
            </w:r>
          </w:p>
        </w:tc>
      </w:tr>
      <w:tr>
        <w:tc>
          <w:tcPr>
            <w:tcW w:type="dxa" w:w="270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Evidence</w:t>
            </w:r>
          </w:p>
        </w:tc>
        <w:tc>
          <w:tcPr>
            <w:tcW w:type="dxa" w:w="666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The source link, record ID, and receipt attached to the item.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Limitations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What the public record does not prove.</w:t>
            </w:r>
          </w:p>
        </w:tc>
      </w:tr>
      <w:tr>
        <w:tc>
          <w:tcPr>
            <w:tcW w:type="dxa" w:w="270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Call ready</w:t>
            </w:r>
          </w:p>
        </w:tc>
        <w:tc>
          <w:tcPr>
            <w:tcW w:type="dxa" w:w="666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Whether outreach checks have passed. Public view stays at zero.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Where the live records come from</w:t>
      </w:r>
    </w:p>
    <w:p>
      <w:pPr>
        <w:spacing w:after="120" w:line="300" w:lineRule="auto"/>
      </w:pPr>
      <w:r>
        <w:rPr>
          <w:rFonts w:ascii="Calibri" w:hAnsi="Calibri"/>
          <w:i w:val="0"/>
          <w:color w:val="1F2933"/>
        </w:rPr>
        <w:t>The application checks official public sources independently. Each lane reports LIVE, UNAVAILABLE, or NOT APPLICABLE for the selected market.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50"/>
        <w:gridCol w:w="1650"/>
        <w:gridCol w:w="4560"/>
      </w:tblGrid>
      <w:tr>
        <w:trPr>
          <w:tblHeader w:val="true"/>
        </w:trPr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0A2540" w:val="clea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Official source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0A2540" w:val="clea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State at demo time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0A2540" w:val="clea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What it can show</w:t>
            </w:r>
          </w:p>
        </w:tc>
      </w:tr>
      <w:tr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0"/>
              </w:rPr>
              <w:t>U.S. Department of Labor Form 5500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B78327"/>
                <w:sz w:val="20"/>
              </w:rPr>
              <w:t>READ RUNTIME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0"/>
              </w:rPr>
              <w:t>Benefit-plan filings and reported plan or policy timing fields.</w:t>
            </w:r>
          </w:p>
        </w:tc>
      </w:tr>
      <w:tr>
        <w:tc>
          <w:tcPr>
            <w:tcW w:type="dxa" w:w="315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0"/>
              </w:rPr>
              <w:t>FMCSA Company Census</w:t>
            </w:r>
          </w:p>
        </w:tc>
        <w:tc>
          <w:tcPr>
            <w:tcW w:type="dxa" w:w="165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B78327"/>
                <w:sz w:val="20"/>
              </w:rPr>
              <w:t>READ RUNTIME</w:t>
            </w:r>
          </w:p>
        </w:tc>
        <w:tc>
          <w:tcPr>
            <w:tcW w:type="dxa" w:w="456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0"/>
              </w:rPr>
              <w:t>Organization-level carrier registration activity.</w:t>
            </w:r>
          </w:p>
        </w:tc>
      </w:tr>
      <w:tr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0"/>
              </w:rPr>
              <w:t>USAspending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B78327"/>
                <w:sz w:val="20"/>
              </w:rPr>
              <w:t>READ RUNTIME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0"/>
              </w:rPr>
              <w:t>Federal contract activity in the current query window.</w:t>
            </w:r>
          </w:p>
        </w:tc>
      </w:tr>
      <w:tr>
        <w:tc>
          <w:tcPr>
            <w:tcW w:type="dxa" w:w="315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0"/>
              </w:rPr>
              <w:t>EPA ECHO</w:t>
            </w:r>
          </w:p>
        </w:tc>
        <w:tc>
          <w:tcPr>
            <w:tcW w:type="dxa" w:w="165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B78327"/>
                <w:sz w:val="20"/>
              </w:rPr>
              <w:t>READ RUNTIME</w:t>
            </w:r>
          </w:p>
        </w:tc>
        <w:tc>
          <w:tcPr>
            <w:tcW w:type="dxa" w:w="456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0"/>
              </w:rPr>
              <w:t>Organization and facility compliance-monitoring activity.</w:t>
            </w:r>
          </w:p>
        </w:tc>
      </w:tr>
      <w:tr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0"/>
              </w:rPr>
              <w:t>FCC ULS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B78327"/>
                <w:sz w:val="20"/>
              </w:rPr>
              <w:t>READ RUNTIME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0"/>
              </w:rPr>
              <w:t>Organization wireless-license activity when the source answers.</w:t>
            </w:r>
          </w:p>
        </w:tc>
      </w:tr>
      <w:tr>
        <w:tc>
          <w:tcPr>
            <w:tcW w:type="dxa" w:w="315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0"/>
              </w:rPr>
              <w:t>Chicago business licenses</w:t>
            </w:r>
          </w:p>
        </w:tc>
        <w:tc>
          <w:tcPr>
            <w:tcW w:type="dxa" w:w="165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B78327"/>
                <w:sz w:val="20"/>
              </w:rPr>
              <w:t>READ RUNTIME</w:t>
            </w:r>
          </w:p>
        </w:tc>
        <w:tc>
          <w:tcPr>
            <w:tcW w:type="dxa" w:w="456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0"/>
              </w:rPr>
              <w:t>New active business-license records when applicable.</w:t>
            </w:r>
          </w:p>
        </w:tc>
      </w:tr>
      <w:tr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0"/>
              </w:rPr>
              <w:t>SAM.gov entity updates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B78327"/>
                <w:sz w:val="20"/>
              </w:rPr>
              <w:t>READ RUNTIME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0"/>
              </w:rPr>
              <w:t>Active entity updates when the source and credential are available.</w:t>
            </w:r>
          </w:p>
        </w:tc>
      </w:tr>
    </w:tbl>
    <w:p>
      <w:pPr>
        <w:pStyle w:val="Heading2"/>
        <w:keepNext/>
      </w:pPr>
      <w:r>
        <w:t>What is deliberately excluded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 w:val="0"/>
          <w:color w:val="0A2540"/>
        </w:rPr>
        <w:t xml:space="preserve">• </w:t>
      </w:r>
      <w:r>
        <w:rPr>
          <w:rFonts w:ascii="Calibri" w:hAnsi="Calibri"/>
          <w:color w:val="1F2933"/>
        </w:rPr>
        <w:t>Personal social-media profiles, private contacts, and hidden contact enrichment.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 w:val="0"/>
          <w:color w:val="0A2540"/>
        </w:rPr>
        <w:t xml:space="preserve">• </w:t>
      </w:r>
      <w:r>
        <w:rPr>
          <w:rFonts w:ascii="Calibri" w:hAnsi="Calibri"/>
          <w:color w:val="1F2933"/>
        </w:rPr>
        <w:t>Health, age, race, religion, family status, wealth, or insurability inferences.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 w:val="0"/>
          <w:color w:val="0A2540"/>
        </w:rPr>
        <w:t xml:space="preserve">• </w:t>
      </w:r>
      <w:r>
        <w:rPr>
          <w:rFonts w:ascii="Calibri" w:hAnsi="Calibri"/>
          <w:color w:val="1F2933"/>
        </w:rPr>
        <w:t>Named filing signers, administrators, donors, or executives used as personal leads.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 w:val="0"/>
          <w:color w:val="0A2540"/>
        </w:rPr>
        <w:t xml:space="preserve">• </w:t>
      </w:r>
      <w:r>
        <w:rPr>
          <w:rFonts w:ascii="Calibri" w:hAnsi="Calibri"/>
          <w:color w:val="1F2933"/>
        </w:rPr>
        <w:t>Automatic contact permission, automatic quoting, or an underwriting conclusion.</w:t>
      </w:r>
    </w:p>
    <w:p>
      <w:r>
        <w:br w:type="page"/>
      </w:r>
    </w:p>
    <w:p>
      <w:pPr>
        <w:pStyle w:val="Heading1"/>
        <w:keepNext/>
      </w:pPr>
      <w:r>
        <w:t>A practical daily routine</w:t>
      </w:r>
    </w:p>
    <w:p>
      <w:pPr>
        <w:pStyle w:val="Heading2"/>
        <w:keepNext/>
      </w:pPr>
      <w:r>
        <w:t>Morning: choose the research queue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 w:val="0"/>
          <w:color w:val="0A2540"/>
        </w:rPr>
        <w:t xml:space="preserve">• </w:t>
      </w:r>
      <w:r>
        <w:rPr>
          <w:rFonts w:ascii="Calibri" w:hAnsi="Calibri"/>
          <w:color w:val="1F2933"/>
        </w:rPr>
        <w:t>Open the Broker view and check the release stamp.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 w:val="0"/>
          <w:color w:val="0A2540"/>
        </w:rPr>
        <w:t xml:space="preserve">• </w:t>
      </w:r>
      <w:r>
        <w:rPr>
          <w:rFonts w:ascii="Calibri" w:hAnsi="Calibri"/>
          <w:color w:val="1F2933"/>
        </w:rPr>
        <w:t>Choose your state or region; start with one state for depth.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 w:val="0"/>
          <w:color w:val="0A2540"/>
        </w:rPr>
        <w:t xml:space="preserve">• </w:t>
      </w:r>
      <w:r>
        <w:rPr>
          <w:rFonts w:ascii="Calibri" w:hAnsi="Calibri"/>
          <w:color w:val="1F2933"/>
        </w:rPr>
        <w:t>Read the Broker brief and pick five organizations to verify.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 w:val="0"/>
          <w:color w:val="0A2540"/>
        </w:rPr>
        <w:t xml:space="preserve">• </w:t>
      </w:r>
      <w:r>
        <w:rPr>
          <w:rFonts w:ascii="Calibri" w:hAnsi="Calibri"/>
          <w:color w:val="1F2933"/>
        </w:rPr>
        <w:t>Open every official source before writing a note.</w:t>
      </w:r>
    </w:p>
    <w:p>
      <w:pPr>
        <w:pStyle w:val="Heading2"/>
        <w:keepNext/>
      </w:pPr>
      <w:r>
        <w:t>Research block: turn records into qualified questions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 w:val="0"/>
          <w:color w:val="0A2540"/>
        </w:rPr>
        <w:t xml:space="preserve">• </w:t>
      </w:r>
      <w:r>
        <w:rPr>
          <w:rFonts w:ascii="Calibri" w:hAnsi="Calibri"/>
          <w:color w:val="1F2933"/>
        </w:rPr>
        <w:t>Confirm the organization and event on the official record.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 w:val="0"/>
          <w:color w:val="0A2540"/>
        </w:rPr>
        <w:t xml:space="preserve">• </w:t>
      </w:r>
      <w:r>
        <w:rPr>
          <w:rFonts w:ascii="Calibri" w:hAnsi="Calibri"/>
          <w:color w:val="1F2933"/>
        </w:rPr>
        <w:t>Check the organization's own website for current operations and a business-published channel.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 w:val="0"/>
          <w:color w:val="0A2540"/>
        </w:rPr>
        <w:t xml:space="preserve">• </w:t>
      </w:r>
      <w:r>
        <w:rPr>
          <w:rFonts w:ascii="Calibri" w:hAnsi="Calibri"/>
          <w:color w:val="1F2933"/>
        </w:rPr>
        <w:t>Write down what is known, what is inferred, and what remains unknown.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 w:val="0"/>
          <w:color w:val="0A2540"/>
        </w:rPr>
        <w:t xml:space="preserve">• </w:t>
      </w:r>
      <w:r>
        <w:rPr>
          <w:rFonts w:ascii="Calibri" w:hAnsi="Calibri"/>
          <w:color w:val="1F2933"/>
        </w:rPr>
        <w:t>Do not copy sensitive person-level fields into your notes.</w:t>
      </w:r>
    </w:p>
    <w:p>
      <w:pPr>
        <w:pStyle w:val="Heading2"/>
        <w:keepNext/>
      </w:pPr>
      <w:r>
        <w:t>Before any outreach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 w:val="0"/>
          <w:color w:val="0A2540"/>
        </w:rPr>
        <w:t xml:space="preserve">• </w:t>
      </w:r>
      <w:r>
        <w:rPr>
          <w:rFonts w:ascii="Calibri" w:hAnsi="Calibri"/>
          <w:b/>
          <w:color w:val="0A2540"/>
        </w:rPr>
        <w:t xml:space="preserve">Check: </w:t>
      </w:r>
      <w:r>
        <w:rPr>
          <w:rFonts w:ascii="Calibri" w:hAnsi="Calibri"/>
          <w:color w:val="1F2933"/>
        </w:rPr>
        <w:t>The organization and event were verified.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 w:val="0"/>
          <w:color w:val="0A2540"/>
        </w:rPr>
        <w:t xml:space="preserve">• </w:t>
      </w:r>
      <w:r>
        <w:rPr>
          <w:rFonts w:ascii="Calibri" w:hAnsi="Calibri"/>
          <w:b/>
          <w:color w:val="0A2540"/>
        </w:rPr>
        <w:t xml:space="preserve">Check: </w:t>
      </w:r>
      <w:r>
        <w:rPr>
          <w:rFonts w:ascii="Calibri" w:hAnsi="Calibri"/>
          <w:color w:val="1F2933"/>
        </w:rPr>
        <w:t>The channel was published by the business itself.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 w:val="0"/>
          <w:color w:val="0A2540"/>
        </w:rPr>
        <w:t xml:space="preserve">• </w:t>
      </w:r>
      <w:r>
        <w:rPr>
          <w:rFonts w:ascii="Calibri" w:hAnsi="Calibri"/>
          <w:b/>
          <w:color w:val="0A2540"/>
        </w:rPr>
        <w:t xml:space="preserve">Check: </w:t>
      </w:r>
      <w:r>
        <w:rPr>
          <w:rFonts w:ascii="Calibri" w:hAnsi="Calibri"/>
          <w:color w:val="1F2933"/>
        </w:rPr>
        <w:t>Suppression and Do-Not-Contact checks passed.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 w:val="0"/>
          <w:color w:val="0A2540"/>
        </w:rPr>
        <w:t xml:space="preserve">• </w:t>
      </w:r>
      <w:r>
        <w:rPr>
          <w:rFonts w:ascii="Calibri" w:hAnsi="Calibri"/>
          <w:b/>
          <w:color w:val="0A2540"/>
        </w:rPr>
        <w:t xml:space="preserve">Check: </w:t>
      </w:r>
      <w:r>
        <w:rPr>
          <w:rFonts w:ascii="Calibri" w:hAnsi="Calibri"/>
          <w:color w:val="1F2933"/>
        </w:rPr>
        <w:t>Licensing and state rules were checked.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 w:val="0"/>
          <w:color w:val="0A2540"/>
        </w:rPr>
        <w:t xml:space="preserve">• </w:t>
      </w:r>
      <w:r>
        <w:rPr>
          <w:rFonts w:ascii="Calibri" w:hAnsi="Calibri"/>
          <w:b/>
          <w:color w:val="0A2540"/>
        </w:rPr>
        <w:t xml:space="preserve">Check: </w:t>
      </w:r>
      <w:r>
        <w:rPr>
          <w:rFonts w:ascii="Calibri" w:hAnsi="Calibri"/>
          <w:color w:val="1F2933"/>
        </w:rPr>
        <w:t>The purpose and product discussion are permitted.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 w:val="0"/>
          <w:color w:val="0A2540"/>
        </w:rPr>
        <w:t xml:space="preserve">• </w:t>
      </w:r>
      <w:r>
        <w:rPr>
          <w:rFonts w:ascii="Calibri" w:hAnsi="Calibri"/>
          <w:b/>
          <w:color w:val="0A2540"/>
        </w:rPr>
        <w:t xml:space="preserve">Check: </w:t>
      </w:r>
      <w:r>
        <w:rPr>
          <w:rFonts w:ascii="Calibri" w:hAnsi="Calibri"/>
          <w:color w:val="1F2933"/>
        </w:rPr>
        <w:t>The record does not rely on a sample or unavailable source.</w:t>
      </w:r>
    </w:p>
    <w:p>
      <w:pPr>
        <w:spacing w:before="80" w:after="200" w:line="288" w:lineRule="auto"/>
        <w:shd w:fill="FFF7E6" w:val="clear"/>
        <w:pBdr>
          <w:left w:val="single" w:sz="18" w:space="8" w:color="168F89"/>
        </w:pBdr>
        <w:ind w:left="180" w:right="120"/>
      </w:pPr>
      <w:r>
        <w:rPr>
          <w:rFonts w:ascii="Calibri" w:hAnsi="Calibri"/>
          <w:b/>
          <w:color w:val="0A2540"/>
        </w:rPr>
        <w:t xml:space="preserve">If any check is missing: </w:t>
      </w:r>
      <w:r>
        <w:rPr>
          <w:rFonts w:ascii="Calibri" w:hAnsi="Calibri"/>
          <w:color w:val="1F2933"/>
        </w:rPr>
        <w:t>Do more research or stop. The application is designed to make uncertainty visible, not to push every record into a call list.</w:t>
      </w:r>
    </w:p>
    <w:p>
      <w:r>
        <w:br w:type="page"/>
      </w:r>
    </w:p>
    <w:p>
      <w:pPr>
        <w:pStyle w:val="Heading1"/>
        <w:keepNext/>
      </w:pPr>
      <w:r>
        <w:t>Five-minute meeting walkthrough</w:t>
      </w:r>
    </w:p>
    <w:p>
      <w:pPr>
        <w:spacing w:after="120" w:line="300" w:lineRule="auto"/>
      </w:pPr>
      <w:r>
        <w:rPr>
          <w:rFonts w:ascii="Calibri" w:hAnsi="Calibri"/>
          <w:i/>
          <w:color w:val="5A6B7C"/>
        </w:rPr>
        <w:t>Use this sequence when showing David Leads to a broker, manager, or investor.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/>
          <w:color w:val="0A2540"/>
        </w:rPr>
        <w:t xml:space="preserve">1. </w:t>
      </w:r>
      <w:r>
        <w:rPr>
          <w:rFonts w:ascii="Calibri" w:hAnsi="Calibri"/>
          <w:color w:val="1F2933"/>
        </w:rPr>
        <w:t>Open the app and say: 'This is live organization research from official public records, not a contact list.'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/>
          <w:color w:val="0A2540"/>
        </w:rPr>
        <w:t xml:space="preserve">2. </w:t>
      </w:r>
      <w:r>
        <w:rPr>
          <w:rFonts w:ascii="Calibri" w:hAnsi="Calibri"/>
          <w:color w:val="1F2933"/>
        </w:rPr>
        <w:t>Show the 27-state territory selector and focus New York.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/>
          <w:color w:val="0A2540"/>
        </w:rPr>
        <w:t xml:space="preserve">3. </w:t>
      </w:r>
      <w:r>
        <w:rPr>
          <w:rFonts w:ascii="Calibri" w:hAnsi="Calibri"/>
          <w:color w:val="1F2933"/>
        </w:rPr>
        <w:t>Point to Live organizations, Source coverage, and Needs research. Explain that unavailable sources stay visible.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/>
          <w:color w:val="0A2540"/>
        </w:rPr>
        <w:t xml:space="preserve">4. </w:t>
      </w:r>
      <w:r>
        <w:rPr>
          <w:rFonts w:ascii="Calibri" w:hAnsi="Calibri"/>
          <w:color w:val="1F2933"/>
        </w:rPr>
        <w:t>Open one organization. Read the event, why now, official source, and limitations.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/>
          <w:color w:val="0A2540"/>
        </w:rPr>
        <w:t xml:space="preserve">5. </w:t>
      </w:r>
      <w:r>
        <w:rPr>
          <w:rFonts w:ascii="Calibri" w:hAnsi="Calibri"/>
          <w:color w:val="1F2933"/>
        </w:rPr>
        <w:t>Show the receipt or proof link. Explain that the public record can be checked before use.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/>
          <w:color w:val="0A2540"/>
        </w:rPr>
        <w:t xml:space="preserve">6. </w:t>
      </w:r>
      <w:r>
        <w:rPr>
          <w:rFonts w:ascii="Calibri" w:hAnsi="Calibri"/>
          <w:color w:val="1F2933"/>
        </w:rPr>
        <w:t>End with the contact gate: research is public; outreach still requires protected human clearance.</w:t>
      </w:r>
    </w:p>
    <w:p>
      <w:pPr>
        <w:pStyle w:val="Heading2"/>
        <w:keepNext/>
      </w:pPr>
      <w:r>
        <w:t>A simple opening line</w:t>
      </w:r>
    </w:p>
    <w:p>
      <w:pPr>
        <w:spacing w:before="80" w:after="200" w:line="288" w:lineRule="auto"/>
        <w:shd w:fill="E8EEF5" w:val="clear"/>
        <w:pBdr>
          <w:left w:val="single" w:sz="18" w:space="8" w:color="168F89"/>
        </w:pBdr>
        <w:ind w:left="180" w:right="120"/>
      </w:pPr>
      <w:r>
        <w:rPr>
          <w:rFonts w:ascii="Calibri" w:hAnsi="Calibri"/>
          <w:b/>
          <w:color w:val="0A2540"/>
        </w:rPr>
        <w:t xml:space="preserve">Say: </w:t>
      </w:r>
      <w:r>
        <w:rPr>
          <w:rFonts w:ascii="Calibri" w:hAnsi="Calibri"/>
          <w:color w:val="1F2933"/>
        </w:rPr>
        <w:t>David Leads helps you decide which organizations to research first, why the timing may matter, and exactly which official record to verify before a compliant conversation.</w:t>
      </w:r>
    </w:p>
    <w:p>
      <w:pPr>
        <w:pStyle w:val="Heading2"/>
        <w:keepNext/>
      </w:pPr>
      <w:r>
        <w:t>What not to claim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 w:val="0"/>
          <w:color w:val="0A2540"/>
        </w:rPr>
        <w:t xml:space="preserve">• </w:t>
      </w:r>
      <w:r>
        <w:rPr>
          <w:rFonts w:ascii="Calibri" w:hAnsi="Calibri"/>
          <w:color w:val="1F2933"/>
        </w:rPr>
        <w:t>Do not say every record is a lead ready to call.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 w:val="0"/>
          <w:color w:val="0A2540"/>
        </w:rPr>
        <w:t xml:space="preserve">• </w:t>
      </w:r>
      <w:r>
        <w:rPr>
          <w:rFonts w:ascii="Calibri" w:hAnsi="Calibri"/>
          <w:color w:val="1F2933"/>
        </w:rPr>
        <w:t>Do not say a filing proves need, dissatisfaction, renewal, eligibility, or buying intent.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 w:val="0"/>
          <w:color w:val="0A2540"/>
        </w:rPr>
        <w:t xml:space="preserve">• </w:t>
      </w:r>
      <w:r>
        <w:rPr>
          <w:rFonts w:ascii="Calibri" w:hAnsi="Calibri"/>
          <w:color w:val="1F2933"/>
        </w:rPr>
        <w:t>Do not say a product fit is a recommendation or quote.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 w:val="0"/>
          <w:color w:val="0A2540"/>
        </w:rPr>
        <w:t xml:space="preserve">• </w:t>
      </w:r>
      <w:r>
        <w:rPr>
          <w:rFonts w:ascii="Calibri" w:hAnsi="Calibri"/>
          <w:color w:val="1F2933"/>
        </w:rPr>
        <w:t>Do not say the system uses private profiles or secret contact data.</w:t>
      </w:r>
    </w:p>
    <w:p>
      <w:pPr>
        <w:spacing w:after="80" w:line="300" w:lineRule="auto"/>
        <w:ind w:left="540" w:hanging="271"/>
      </w:pPr>
      <w:r>
        <w:rPr>
          <w:rFonts w:ascii="Calibri" w:hAnsi="Calibri"/>
          <w:b w:val="0"/>
          <w:color w:val="0A2540"/>
        </w:rPr>
        <w:t xml:space="preserve">• </w:t>
      </w:r>
      <w:r>
        <w:rPr>
          <w:rFonts w:ascii="Calibri" w:hAnsi="Calibri"/>
          <w:color w:val="1F2933"/>
        </w:rPr>
        <w:t>Do not call a source LIVE if the coverage panel says UNAVAILABLE.</w:t>
      </w:r>
    </w:p>
    <w:p>
      <w:r>
        <w:br w:type="page"/>
      </w:r>
    </w:p>
    <w:p>
      <w:pPr>
        <w:pStyle w:val="Heading1"/>
        <w:keepNext/>
      </w:pPr>
      <w:r>
        <w:t>If something looks wrong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50"/>
        <w:gridCol w:w="6210"/>
      </w:tblGrid>
      <w:tr>
        <w:trPr>
          <w:tblHeader w:val="true"/>
        </w:trPr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0A2540" w:val="clea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21"/>
              </w:rPr>
              <w:t>What you see</w:t>
            </w:r>
          </w:p>
        </w:tc>
        <w:tc>
          <w:tcPr>
            <w:tcW w:type="dxa" w:w="6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0A2540" w:val="clea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21"/>
              </w:rPr>
              <w:t>What to do</w:t>
            </w:r>
          </w:p>
        </w:tc>
      </w:tr>
      <w:tr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The page is still opening</w:t>
            </w:r>
          </w:p>
        </w:tc>
        <w:tc>
          <w:tcPr>
            <w:tcW w:type="dxa" w:w="6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Wait for the opening screen to disappear, then refresh once.</w:t>
            </w:r>
          </w:p>
        </w:tc>
      </w:tr>
      <w:tr>
        <w:tc>
          <w:tcPr>
            <w:tcW w:type="dxa" w:w="315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A source says UNAVAILABLE</w:t>
            </w:r>
          </w:p>
        </w:tc>
        <w:tc>
          <w:tcPr>
            <w:tcW w:type="dxa" w:w="621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Use another live source or return later. Do not treat the outage as a zero or a live result.</w:t>
            </w:r>
          </w:p>
        </w:tc>
      </w:tr>
      <w:tr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A state has few records</w:t>
            </w:r>
          </w:p>
        </w:tc>
        <w:tc>
          <w:tcPr>
            <w:tcW w:type="dxa" w:w="6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Select that one state to run the deeper state-specific pull.</w:t>
            </w:r>
          </w:p>
        </w:tc>
      </w:tr>
      <w:tr>
        <w:tc>
          <w:tcPr>
            <w:tcW w:type="dxa" w:w="315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The count changed</w:t>
            </w:r>
          </w:p>
        </w:tc>
        <w:tc>
          <w:tcPr>
            <w:tcW w:type="dxa" w:w="621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That is expected. Counts follow current public-source responses and the chosen territory.</w:t>
            </w:r>
          </w:p>
        </w:tc>
      </w:tr>
      <w:tr>
        <w:tc>
          <w:tcPr>
            <w:tcW w:type="dxa" w:w="3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A record looks surprising</w:t>
            </w:r>
          </w:p>
        </w:tc>
        <w:tc>
          <w:tcPr>
            <w:tcW w:type="dxa" w:w="6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Open the official source and confirm it. If it cannot be confirmed, do not use it.</w:t>
            </w:r>
          </w:p>
        </w:tc>
      </w:tr>
      <w:tr>
        <w:tc>
          <w:tcPr>
            <w:tcW w:type="dxa" w:w="315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/>
                <w:color w:val="0A2540"/>
                <w:sz w:val="21"/>
              </w:rPr>
              <w:t>You need saved notes or outreach actions</w:t>
            </w:r>
          </w:p>
        </w:tc>
        <w:tc>
          <w:tcPr>
            <w:tcW w:type="dxa" w:w="6210"/>
            <w:shd w:fill="F5F8FB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b w:val="0"/>
                <w:color w:val="1F2933"/>
                <w:sz w:val="21"/>
              </w:rPr>
              <w:t>Those functions belong in the protected broker workflow and are not exposed in the public research view.</w:t>
            </w:r>
          </w:p>
        </w:tc>
      </w:tr>
    </w:tbl>
    <w:p>
      <w:pPr>
        <w:pStyle w:val="Heading1"/>
        <w:keepNext/>
      </w:pPr>
      <w:r>
        <w:t>The one rule to remember</w:t>
      </w:r>
    </w:p>
    <w:p>
      <w:pPr>
        <w:spacing w:before="80" w:after="200" w:line="288" w:lineRule="auto"/>
        <w:shd w:fill="E8F6F4" w:val="clear"/>
        <w:pBdr>
          <w:left w:val="single" w:sz="18" w:space="8" w:color="168F89"/>
        </w:pBdr>
        <w:ind w:left="180" w:right="120"/>
      </w:pPr>
      <w:r>
        <w:rPr>
          <w:rFonts w:ascii="Calibri" w:hAnsi="Calibri"/>
          <w:b/>
          <w:color w:val="0A2540"/>
        </w:rPr>
        <w:t xml:space="preserve">Use David Leads to decide what to research first. </w:t>
      </w:r>
      <w:r>
        <w:rPr>
          <w:rFonts w:ascii="Calibri" w:hAnsi="Calibri"/>
          <w:color w:val="1F2933"/>
        </w:rPr>
        <w:t>Use the official record to verify why. Use the protected clearance process to decide whether contact is permitted.</w:t>
      </w:r>
    </w:p>
    <w:p>
      <w:pPr>
        <w:spacing w:after="120" w:line="300" w:lineRule="auto"/>
      </w:pPr>
      <w:r>
        <w:rPr>
          <w:rFonts w:ascii="Calibri" w:hAnsi="Calibri"/>
          <w:i/>
          <w:color w:val="5A6B7C"/>
        </w:rPr>
        <w:t>Public organization data only. No passwords or access keys are printed in this guide.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6B7C"/>
        <w:sz w:val="17"/>
      </w:rPr>
      <w:t xml:space="preserve">Operating guide  |  verify the current release at demo time  |  </w:t>
    </w:r>
    <w:r>
      <w:rPr>
        <w:rFonts w:ascii="Calibri" w:hAnsi="Calibri"/>
        <w:color w:val="5A6B7C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A6B7C"/>
        <w:sz w:val="17"/>
      </w:rPr>
      <w:t>DAVID LEADS  |  BROKER FIELD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A254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68F8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A25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A254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360"/>
    </w:pPr>
    <w:rPr>
      <w:rFonts w:asciiTheme="majorHAnsi" w:eastAsiaTheme="majorEastAsia" w:hAnsiTheme="majorHAnsi" w:cstheme="majorBidi" w:ascii="Calibri" w:hAnsi="Calibri"/>
      <w:i/>
      <w:iCs/>
      <w:color w:val="5A6B7C"/>
      <w:spacing w:val="15"/>
      <w:sz w:val="27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szlholdings-david-leads.hf.spac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David Leads Broker Field Guide</dc:title>
  <dc:subject>Plain-English operating guide for David Abraham</dc:subject>
  <dc:creator>SZL Holdings</dc:creator>
  <cp:keywords>David Leads, broker, public data, Eastern United States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