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i w:val="0"/>
          <w:color w:val="148984"/>
          <w:sz w:val="18"/>
        </w:rPr>
        <w:t>BROKER OPERATING GUIDE</w:t>
      </w:r>
    </w:p>
    <w:p>
      <w:pPr>
        <w:spacing w:before="0" w:after="120"/>
      </w:pPr>
      <w:r>
        <w:rPr>
          <w:rFonts w:ascii="Calibri" w:hAnsi="Calibri"/>
          <w:b/>
          <w:i w:val="0"/>
          <w:color w:val="0B2545"/>
          <w:sz w:val="60"/>
        </w:rPr>
        <w:t>David Leads</w:t>
      </w:r>
    </w:p>
    <w:p>
      <w:pPr>
        <w:spacing w:after="360"/>
      </w:pPr>
      <w:r>
        <w:rPr>
          <w:rFonts w:ascii="Calibri" w:hAnsi="Calibri"/>
          <w:b w:val="0"/>
          <w:i w:val="0"/>
          <w:color w:val="5C697A"/>
          <w:sz w:val="28"/>
        </w:rPr>
        <w:t>From source-verified business signal to the next lawful broker action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shd w:fill="0B254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AT A GLANCE</w:t>
            </w:r>
          </w:p>
        </w:tc>
        <w:tc>
          <w:tcPr>
            <w:tcW w:type="dxa" w:w="7160"/>
            <w:vAlign w:val="center"/>
            <w:shd w:fill="0B254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IT MEANS</w:t>
            </w:r>
          </w:p>
        </w:tc>
      </w:tr>
      <w:tr>
        <w:tc>
          <w:tcPr>
            <w:tcW w:type="dxa" w:w="2200"/>
            <w:vAlign w:val="center"/>
            <w:shd w:fill="E8EEF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i w:val="0"/>
                <w:color w:val="148984"/>
                <w:sz w:val="17"/>
              </w:rPr>
              <w:t>OPEN</w:t>
            </w:r>
          </w:p>
        </w:tc>
        <w:tc>
          <w:tcPr>
            <w:tcW w:type="dxa" w:w="7160"/>
            <w:vAlign w:val="center"/>
            <w:shd w:fill="FFFFFF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No login for the public research view</w:t>
            </w:r>
          </w:p>
        </w:tc>
      </w:tr>
      <w:tr>
        <w:tc>
          <w:tcPr>
            <w:tcW w:type="dxa" w:w="2200"/>
            <w:vAlign w:val="center"/>
            <w:shd w:fill="E8EEF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i w:val="0"/>
                <w:color w:val="148984"/>
                <w:sz w:val="17"/>
              </w:rPr>
              <w:t>COVERAGE</w:t>
            </w:r>
          </w:p>
        </w:tc>
        <w:tc>
          <w:tcPr>
            <w:tcW w:type="dxa" w:w="7160"/>
            <w:vAlign w:val="center"/>
            <w:shd w:fill="FFFFFF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27 Eastern U.S. markets</w:t>
            </w:r>
          </w:p>
        </w:tc>
      </w:tr>
      <w:tr>
        <w:tc>
          <w:tcPr>
            <w:tcW w:type="dxa" w:w="2200"/>
            <w:vAlign w:val="center"/>
            <w:shd w:fill="E8EEF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i w:val="0"/>
                <w:color w:val="148984"/>
                <w:sz w:val="17"/>
              </w:rPr>
              <w:t>PRIMARY USE</w:t>
            </w:r>
          </w:p>
        </w:tc>
        <w:tc>
          <w:tcPr>
            <w:tcW w:type="dxa" w:w="7160"/>
            <w:vAlign w:val="center"/>
            <w:shd w:fill="FFFFFF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Choose what to research first</w:t>
            </w:r>
          </w:p>
        </w:tc>
      </w:tr>
      <w:tr>
        <w:tc>
          <w:tcPr>
            <w:tcW w:type="dxa" w:w="2200"/>
            <w:vAlign w:val="center"/>
            <w:shd w:fill="E8EEF5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after="40" w:line="264" w:lineRule="auto"/>
            </w:pPr>
            <w:r>
              <w:rPr>
                <w:rFonts w:ascii="Calibri" w:hAnsi="Calibri"/>
                <w:b/>
                <w:i w:val="0"/>
                <w:color w:val="148984"/>
                <w:sz w:val="17"/>
              </w:rPr>
              <w:t>CONTACT</w:t>
            </w:r>
          </w:p>
        </w:tc>
        <w:tc>
          <w:tcPr>
            <w:tcW w:type="dxa" w:w="7160"/>
            <w:vAlign w:val="center"/>
            <w:shd w:fill="FFFFFF"/>
            <w:tcMar>
              <w:top w:w="130" w:type="dxa"/>
              <w:bottom w:w="13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0B2545"/>
                <w:sz w:val="21"/>
              </w:rPr>
              <w:t>Always blocked until protected clearance</w:t>
            </w:r>
          </w:p>
        </w:tc>
      </w:tr>
    </w:tbl>
    <w:p>
      <w:pPr>
        <w:spacing w:before="0" w:after="40" w:line="300" w:lineRule="auto"/>
      </w:pPr>
      <w:r>
        <w:rPr>
          <w:rFonts w:ascii="Calibri" w:hAnsi="Calibri"/>
          <w:b/>
          <w:i w:val="0"/>
          <w:color w:val="148984"/>
          <w:sz w:val="18"/>
        </w:rPr>
        <w:t>Open the application</w:t>
      </w:r>
    </w:p>
    <w:p>
      <w:pPr>
        <w:spacing w:before="0" w:after="240" w:line="300" w:lineRule="auto"/>
      </w:pPr>
      <w:r>
        <w:rPr>
          <w:rFonts w:ascii="Calibri" w:hAnsi="Calibri"/>
          <w:b/>
          <w:i w:val="0"/>
          <w:color w:val="2E74B5"/>
          <w:sz w:val="24"/>
        </w:rPr>
        <w:t>https://szlholdings-david-leads.hf.space/</w:t>
      </w:r>
    </w:p>
    <w:p>
      <w:pPr>
        <w:spacing w:before="80" w:after="200" w:line="288" w:lineRule="auto"/>
        <w:ind w:left="173" w:right="173"/>
        <w:shd w:fill="E7F5F3"/>
        <w:pBdr>
          <w:left w:val="single" w:sz="18" w:space="8" w:color="148984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The simple rule: </w:t>
      </w:r>
      <w:r>
        <w:rPr>
          <w:rFonts w:ascii="Calibri" w:hAnsi="Calibri"/>
          <w:b w:val="0"/>
          <w:i w:val="0"/>
          <w:color w:val="1C2737"/>
          <w:sz w:val="22"/>
        </w:rPr>
        <w:t>Use David Leads to decide what to research first. Use the official record to verify why. Use the protected clearance process to decide whether contact is permitted.</w:t>
      </w:r>
    </w:p>
    <w:p>
      <w:pPr>
        <w:pStyle w:val="Heading1"/>
        <w:keepNext/>
      </w:pPr>
      <w:r>
        <w:t>What this application does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David Leads organizes official organization-level records into a practical research queue. It shows the company, the observed change, the timing, the likely protection-planning fit, and the evidence behind the item.</w:t>
      </w:r>
    </w:p>
    <w:p>
      <w:pPr>
        <w:spacing w:before="80" w:after="200" w:line="288" w:lineRule="auto"/>
        <w:ind w:left="173" w:right="173"/>
        <w:shd w:fill="FFF7E5"/>
        <w:pBdr>
          <w:left w:val="single" w:sz="18" w:space="8" w:color="B78921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Important: </w:t>
      </w:r>
      <w:r>
        <w:rPr>
          <w:rFonts w:ascii="Calibri" w:hAnsi="Calibri"/>
          <w:b w:val="0"/>
          <w:i w:val="0"/>
          <w:color w:val="1C2737"/>
          <w:sz w:val="22"/>
        </w:rPr>
        <w:t>It is not a purchased contact list. It never turns a public record into permission to call, email, market, or make an underwriting decision.</w:t>
      </w:r>
    </w:p>
    <w:p>
      <w:r>
        <w:br w:type="page"/>
      </w:r>
    </w:p>
    <w:p>
      <w:pPr>
        <w:pStyle w:val="Heading1"/>
        <w:keepNext/>
      </w:pPr>
      <w:r>
        <w:t>Start your day in five minutes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1. </w:t>
      </w:r>
      <w:r>
        <w:rPr>
          <w:rFonts w:ascii="Calibri" w:hAnsi="Calibri"/>
          <w:b/>
          <w:i w:val="0"/>
          <w:color w:val="0B2545"/>
          <w:sz w:val="22"/>
        </w:rPr>
        <w:t xml:space="preserve">Read the Broker brief. </w:t>
      </w:r>
      <w:r>
        <w:rPr>
          <w:rFonts w:ascii="Calibri" w:hAnsi="Calibri"/>
          <w:b w:val="0"/>
          <w:i w:val="0"/>
          <w:color w:val="1C2737"/>
          <w:sz w:val="22"/>
        </w:rPr>
        <w:t>It summarizes the strongest timing pattern in the current official-source pull.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2. </w:t>
      </w:r>
      <w:r>
        <w:rPr>
          <w:rFonts w:ascii="Calibri" w:hAnsi="Calibri"/>
          <w:b/>
          <w:i w:val="0"/>
          <w:color w:val="0B2545"/>
          <w:sz w:val="22"/>
        </w:rPr>
        <w:t xml:space="preserve">Choose a territory. </w:t>
      </w:r>
      <w:r>
        <w:rPr>
          <w:rFonts w:ascii="Calibri" w:hAnsi="Calibri"/>
          <w:b w:val="0"/>
          <w:i w:val="0"/>
          <w:color w:val="1C2737"/>
          <w:sz w:val="22"/>
        </w:rPr>
        <w:t>Select All East, a region, or one state. One state runs a deeper market-specific search.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3. </w:t>
      </w:r>
      <w:r>
        <w:rPr>
          <w:rFonts w:ascii="Calibri" w:hAnsi="Calibri"/>
          <w:b/>
          <w:i w:val="0"/>
          <w:color w:val="0B2545"/>
          <w:sz w:val="22"/>
        </w:rPr>
        <w:t xml:space="preserve">Choose a deal moment. </w:t>
      </w:r>
      <w:r>
        <w:rPr>
          <w:rFonts w:ascii="Calibri" w:hAnsi="Calibri"/>
          <w:b w:val="0"/>
          <w:i w:val="0"/>
          <w:color w:val="1C2737"/>
          <w:sz w:val="22"/>
        </w:rPr>
        <w:t>Use Life-plan timing, Growth &amp; awards, Operational change, or Needs research.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4. </w:t>
      </w:r>
      <w:r>
        <w:rPr>
          <w:rFonts w:ascii="Calibri" w:hAnsi="Calibri"/>
          <w:b/>
          <w:i w:val="0"/>
          <w:color w:val="0B2545"/>
          <w:sz w:val="22"/>
        </w:rPr>
        <w:t xml:space="preserve">Open the strongest account. </w:t>
      </w:r>
      <w:r>
        <w:rPr>
          <w:rFonts w:ascii="Calibri" w:hAnsi="Calibri"/>
          <w:b w:val="0"/>
          <w:i w:val="0"/>
          <w:color w:val="1C2737"/>
          <w:sz w:val="22"/>
        </w:rPr>
        <w:t>Review the timing, likely fit, evidence, limitations, and three-step broker action.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5. </w:t>
      </w:r>
      <w:r>
        <w:rPr>
          <w:rFonts w:ascii="Calibri" w:hAnsi="Calibri"/>
          <w:b/>
          <w:i w:val="0"/>
          <w:color w:val="0B2545"/>
          <w:sz w:val="22"/>
        </w:rPr>
        <w:t xml:space="preserve">Verify before doing anything else. </w:t>
      </w:r>
      <w:r>
        <w:rPr>
          <w:rFonts w:ascii="Calibri" w:hAnsi="Calibri"/>
          <w:b w:val="0"/>
          <w:i w:val="0"/>
          <w:color w:val="1C2737"/>
          <w:sz w:val="22"/>
        </w:rPr>
        <w:t>Open the cited official record and confirm that the organization and event are current.</w:t>
      </w:r>
    </w:p>
    <w:p>
      <w:pPr>
        <w:pStyle w:val="Heading1"/>
        <w:keepNext/>
      </w:pPr>
      <w:r>
        <w:t>The four deal-moment lanes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>Life-plan timing:</w:t>
      </w:r>
      <w:r>
        <w:rPr>
          <w:rFonts w:ascii="Calibri" w:hAnsi="Calibri"/>
          <w:b w:val="0"/>
          <w:i w:val="0"/>
          <w:color w:val="1C2737"/>
          <w:sz w:val="22"/>
        </w:rPr>
        <w:t xml:space="preserve"> Employers whose official Department of Labor filing reports a group-life benefit and a plan or policy anniversary.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>Growth &amp; awards:</w:t>
      </w:r>
      <w:r>
        <w:rPr>
          <w:rFonts w:ascii="Calibri" w:hAnsi="Calibri"/>
          <w:b w:val="0"/>
          <w:i w:val="0"/>
          <w:color w:val="1C2737"/>
          <w:sz w:val="22"/>
        </w:rPr>
        <w:t xml:space="preserve"> Current federal contract activity that may justify a business-protection, continuity, or workforce review.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>Operational change:</w:t>
      </w:r>
      <w:r>
        <w:rPr>
          <w:rFonts w:ascii="Calibri" w:hAnsi="Calibri"/>
          <w:b w:val="0"/>
          <w:i w:val="0"/>
          <w:color w:val="1C2737"/>
          <w:sz w:val="22"/>
        </w:rPr>
        <w:t xml:space="preserve"> Carrier registrations, facility monitoring activity, and other official organization events.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>Needs research:</w:t>
      </w:r>
      <w:r>
        <w:rPr>
          <w:rFonts w:ascii="Calibri" w:hAnsi="Calibri"/>
          <w:b w:val="0"/>
          <w:i w:val="0"/>
          <w:color w:val="1C2737"/>
          <w:sz w:val="22"/>
        </w:rPr>
        <w:t xml:space="preserve"> Every account that still requires source verification, product-fit review, and protected contact clearance.</w:t>
      </w:r>
    </w:p>
    <w:p>
      <w:pPr>
        <w:spacing w:before="80" w:after="200" w:line="288" w:lineRule="auto"/>
        <w:ind w:left="173" w:right="173"/>
        <w:shd w:fill="E7F5F3"/>
        <w:pBdr>
          <w:left w:val="single" w:sz="18" w:space="8" w:color="148984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Timing label: </w:t>
      </w:r>
      <w:r>
        <w:rPr>
          <w:rFonts w:ascii="Calibri" w:hAnsi="Calibri"/>
          <w:b w:val="0"/>
          <w:i w:val="0"/>
          <w:color w:val="1C2737"/>
          <w:sz w:val="22"/>
        </w:rPr>
        <w:t>A Form 5500 anniversary is a research hypothesis. It is not proof of a renewal, dissatisfaction, buying intent, eligibility, or insurability.</w:t>
      </w:r>
    </w:p>
    <w:p>
      <w:r>
        <w:br w:type="page"/>
      </w:r>
    </w:p>
    <w:p>
      <w:pPr>
        <w:pStyle w:val="Heading1"/>
        <w:keepNext/>
      </w:pPr>
      <w:r>
        <w:t>How to read an account</w:t>
      </w:r>
    </w:p>
    <w:p>
      <w:pPr>
        <w:pStyle w:val="Heading2"/>
        <w:keepNext/>
      </w:pPr>
      <w:r>
        <w:t>Source-verified business moment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The organization-level fact returned by the official source. Read this before the product idea.</w:t>
      </w:r>
    </w:p>
    <w:p>
      <w:pPr>
        <w:pStyle w:val="Heading2"/>
        <w:keepNext/>
      </w:pPr>
      <w:r>
        <w:t>Timing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The observed date or the next anniversary calculated from a previously reported plan or policy period.</w:t>
      </w:r>
    </w:p>
    <w:p>
      <w:pPr>
        <w:pStyle w:val="Heading2"/>
        <w:keepNext/>
      </w:pPr>
      <w:r>
        <w:t>Likely fit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A reason to investigate protection planning. It is not a recommendation, quote, coverage determination, or statement that David is appointed or licensed for every product shown by the source.</w:t>
      </w:r>
    </w:p>
    <w:p>
      <w:pPr>
        <w:pStyle w:val="Heading2"/>
        <w:keepNext/>
      </w:pPr>
      <w:r>
        <w:t>Evidence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A direct filing or official record shows the evidence class. A session-verifiable source reference binds the normalized source record to its receipt. Identity resolution, proof grade, clock, counter-evidence, and durable history remain outside that receipt and must be evaluated separately.</w:t>
      </w:r>
    </w:p>
    <w:p>
      <w:pPr>
        <w:pStyle w:val="Heading2"/>
        <w:keepNext/>
      </w:pPr>
      <w:r>
        <w:t>Contact state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Cleared to contact stays at zero in the public view. That is intentional. Public visibility does not create consent.</w:t>
      </w:r>
    </w:p>
    <w:p>
      <w:pPr>
        <w:pStyle w:val="Heading1"/>
        <w:keepNext/>
      </w:pPr>
      <w:r>
        <w:t>The three-step broker action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1. </w:t>
      </w:r>
      <w:r>
        <w:rPr>
          <w:rFonts w:ascii="Calibri" w:hAnsi="Calibri"/>
          <w:b/>
          <w:i w:val="0"/>
          <w:color w:val="0B2545"/>
          <w:sz w:val="22"/>
        </w:rPr>
        <w:t xml:space="preserve">Verify the moment. </w:t>
      </w:r>
      <w:r>
        <w:rPr>
          <w:rFonts w:ascii="Calibri" w:hAnsi="Calibri"/>
          <w:b w:val="0"/>
          <w:i w:val="0"/>
          <w:color w:val="1C2737"/>
          <w:sz w:val="22"/>
        </w:rPr>
        <w:t>Open the cited source and confirm the organization, reported date, and relevant filing field.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2. </w:t>
      </w:r>
      <w:r>
        <w:rPr>
          <w:rFonts w:ascii="Calibri" w:hAnsi="Calibri"/>
          <w:b/>
          <w:i w:val="0"/>
          <w:color w:val="0B2545"/>
          <w:sz w:val="22"/>
        </w:rPr>
        <w:t xml:space="preserve">Qualify the fit. </w:t>
      </w:r>
      <w:r>
        <w:rPr>
          <w:rFonts w:ascii="Calibri" w:hAnsi="Calibri"/>
          <w:b w:val="0"/>
          <w:i w:val="0"/>
          <w:color w:val="1C2737"/>
          <w:sz w:val="22"/>
        </w:rPr>
        <w:t>Use the organization’s own website to understand its operations and find a business-published channel.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3. </w:t>
      </w:r>
      <w:r>
        <w:rPr>
          <w:rFonts w:ascii="Calibri" w:hAnsi="Calibri"/>
          <w:b/>
          <w:i w:val="0"/>
          <w:color w:val="0B2545"/>
          <w:sz w:val="22"/>
        </w:rPr>
        <w:t xml:space="preserve">Clear outreach. </w:t>
      </w:r>
      <w:r>
        <w:rPr>
          <w:rFonts w:ascii="Calibri" w:hAnsi="Calibri"/>
          <w:b w:val="0"/>
          <w:i w:val="0"/>
          <w:color w:val="1C2737"/>
          <w:sz w:val="22"/>
        </w:rPr>
        <w:t>In the protected workflow, complete suppression, licensing, state-rule, purpose, and channel checks before any call or email.</w:t>
      </w:r>
    </w:p>
    <w:p>
      <w:r>
        <w:br w:type="page"/>
      </w:r>
    </w:p>
    <w:p>
      <w:pPr>
        <w:pStyle w:val="Heading1"/>
        <w:keepNext/>
      </w:pPr>
      <w:r>
        <w:t>What David Leads never assumes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A public record is not consent or permission to contact.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Observed activity is not revenue, intent, insurability, or a deal value.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The system does not infer health, age, race, religion, family status, or private wealth.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The system does not scrape social profiles or use named executives, insiders, signers, or donors as personal wealth leads.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The public view never exposes broker notes, saved channels, clearance decisions, outcomes, or exports.</w:t>
      </w:r>
    </w:p>
    <w:p>
      <w:pPr>
        <w:pStyle w:val="Heading1"/>
        <w:keepNext/>
      </w:pPr>
      <w:r>
        <w:t>Department of Labor privacy boundary</w:t>
      </w:r>
    </w:p>
    <w:p>
      <w:pPr>
        <w:spacing w:before="0" w:after="120" w:line="300" w:lineRule="auto"/>
      </w:pPr>
      <w:r>
        <w:rPr>
          <w:rFonts w:ascii="Calibri" w:hAnsi="Calibri"/>
          <w:b w:val="0"/>
          <w:i w:val="0"/>
          <w:color w:val="1C2737"/>
          <w:sz w:val="22"/>
        </w:rPr>
        <w:t>The life-plan lane keeps only the organization, public location, plan-period dates, participant count, reported carriers, and benefit categories needed for the research card.</w:t>
      </w:r>
    </w:p>
    <w:p>
      <w:pPr>
        <w:spacing w:before="80" w:after="200" w:line="288" w:lineRule="auto"/>
        <w:ind w:left="173" w:right="173"/>
        <w:shd w:fill="FFF7E5"/>
        <w:pBdr>
          <w:left w:val="single" w:sz="18" w:space="8" w:color="B78921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Excluded: </w:t>
      </w:r>
      <w:r>
        <w:rPr>
          <w:rFonts w:ascii="Calibri" w:hAnsi="Calibri"/>
          <w:b w:val="0"/>
          <w:i w:val="0"/>
          <w:color w:val="1C2737"/>
          <w:sz w:val="22"/>
        </w:rPr>
        <w:t>EINs, phone numbers, named administrators and signers, preparers, broker identities, commissions, and person-level addresses are not retained.</w:t>
      </w:r>
    </w:p>
    <w:p>
      <w:pPr>
        <w:pStyle w:val="Heading1"/>
        <w:keepNext/>
      </w:pPr>
      <w:r>
        <w:t>When a source is unavailable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1. </w:t>
      </w:r>
      <w:r>
        <w:rPr>
          <w:rFonts w:ascii="Calibri" w:hAnsi="Calibri"/>
          <w:b/>
          <w:i w:val="0"/>
          <w:color w:val="0B2545"/>
          <w:sz w:val="22"/>
        </w:rPr>
        <w:t xml:space="preserve">Open Market coverage. </w:t>
      </w:r>
      <w:r>
        <w:rPr>
          <w:rFonts w:ascii="Calibri" w:hAnsi="Calibri"/>
          <w:b w:val="0"/>
          <w:i w:val="0"/>
          <w:color w:val="1C2737"/>
          <w:sz w:val="22"/>
        </w:rPr>
        <w:t>Each source reports LIVE, UNAVAILABLE, or NOT APPLICABLE.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2. </w:t>
      </w:r>
      <w:r>
        <w:rPr>
          <w:rFonts w:ascii="Calibri" w:hAnsi="Calibri"/>
          <w:b/>
          <w:i w:val="0"/>
          <w:color w:val="0B2545"/>
          <w:sz w:val="22"/>
        </w:rPr>
        <w:t xml:space="preserve">Read the reason. </w:t>
      </w:r>
      <w:r>
        <w:rPr>
          <w:rFonts w:ascii="Calibri" w:hAnsi="Calibri"/>
          <w:b w:val="0"/>
          <w:i w:val="0"/>
          <w:color w:val="1C2737"/>
          <w:sz w:val="22"/>
        </w:rPr>
        <w:t>A missing credential, source outage, or territory mismatch remains visible.</w:t>
      </w:r>
    </w:p>
    <w:p>
      <w:pPr>
        <w:spacing w:after="120" w:line="300" w:lineRule="auto"/>
        <w:ind w:left="540" w:hanging="271"/>
      </w:pPr>
      <w:r>
        <w:rPr>
          <w:rFonts w:ascii="Calibri" w:hAnsi="Calibri"/>
          <w:b/>
          <w:i w:val="0"/>
          <w:color w:val="0B2545"/>
          <w:sz w:val="22"/>
        </w:rPr>
        <w:t xml:space="preserve">3. </w:t>
      </w:r>
      <w:r>
        <w:rPr>
          <w:rFonts w:ascii="Calibri" w:hAnsi="Calibri"/>
          <w:b/>
          <w:i w:val="0"/>
          <w:color w:val="0B2545"/>
          <w:sz w:val="22"/>
        </w:rPr>
        <w:t xml:space="preserve">Do not work around it. </w:t>
      </w:r>
      <w:r>
        <w:rPr>
          <w:rFonts w:ascii="Calibri" w:hAnsi="Calibri"/>
          <w:b w:val="0"/>
          <w:i w:val="0"/>
          <w:color w:val="1C2737"/>
          <w:sz w:val="22"/>
        </w:rPr>
        <w:t>The application never substitutes a fake lead for an unavailable source.</w:t>
      </w:r>
    </w:p>
    <w:p>
      <w:pPr>
        <w:pStyle w:val="Heading1"/>
        <w:keepNext/>
      </w:pPr>
      <w:r>
        <w:t>Best practice before every outreach decision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Confirm the official record is current.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Confirm the product and jurisdiction are within David’s approved scope.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Use only a business-published channel from the organization’s own website.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Complete all suppression, licensing, state-rule, and purpose checks.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1C2737"/>
          <w:sz w:val="22"/>
        </w:rPr>
        <w:t>Record time-limited clearance in the protected workflow.</w:t>
      </w:r>
    </w:p>
    <w:p>
      <w:pPr>
        <w:spacing w:before="80" w:after="200" w:line="288" w:lineRule="auto"/>
        <w:ind w:left="173" w:right="173"/>
        <w:shd w:fill="E7F5F3"/>
        <w:pBdr>
          <w:left w:val="single" w:sz="18" w:space="8" w:color="148984"/>
        </w:pBdr>
      </w:pPr>
      <w:r>
        <w:rPr>
          <w:rFonts w:ascii="Calibri" w:hAnsi="Calibri"/>
          <w:b/>
          <w:i w:val="0"/>
          <w:color w:val="0B2545"/>
          <w:sz w:val="22"/>
        </w:rPr>
        <w:t xml:space="preserve">Remember: </w:t>
      </w:r>
      <w:r>
        <w:rPr>
          <w:rFonts w:ascii="Calibri" w:hAnsi="Calibri"/>
          <w:b w:val="0"/>
          <w:i w:val="0"/>
          <w:color w:val="1C2737"/>
          <w:sz w:val="22"/>
        </w:rPr>
        <w:t>The software helps David focus his research. David’s licensed judgment and the protected clearance process decide whether any next action is appropriate.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C697A"/>
        <w:sz w:val="17"/>
      </w:rPr>
      <w:t xml:space="preserve">David Leads | Broker Guide   •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148984"/>
        <w:sz w:val="17"/>
      </w:rPr>
      <w:t>DAVID LEADS</w:t>
    </w:r>
    <w:r>
      <w:rPr>
        <w:rFonts w:ascii="Calibri" w:hAnsi="Calibri"/>
        <w:b w:val="0"/>
        <w:i w:val="0"/>
        <w:color w:val="5C697A"/>
        <w:sz w:val="17"/>
      </w:rPr>
      <w:t xml:space="preserve">   |   Evidence-Backed Broker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C27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Leads - Broker Guide</dc:title>
  <dc:subject>Plain-language operating guide for David Abraham</dc:subject>
  <dc:creator>SZL Holdings</dc:creator>
  <cp:keywords>David Leads, broker guide, public data, life insurance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