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B78327"/>
          <w:sz w:val="19"/>
        </w:rPr>
        <w:t>BROKER ENABLEMENT PACK</w:t>
      </w:r>
    </w:p>
    <w:p>
      <w:pPr>
        <w:pStyle w:val="Title"/>
      </w:pPr>
      <w:r>
        <w:t>David Leads</w:t>
      </w:r>
    </w:p>
    <w:p>
      <w:pPr>
        <w:pStyle w:val="Subtitle"/>
      </w:pPr>
      <w:r>
        <w:t>A plain-English field guide for the live Eastern Market Cockpit</w:t>
      </w:r>
    </w:p>
    <w:p>
      <w:pPr>
        <w:spacing w:after="360"/>
      </w:pPr>
      <w:r>
        <w:rPr>
          <w:rFonts w:ascii="Calibri" w:hAnsi="Calibri"/>
          <w:b/>
          <w:color w:val="5A6B7C"/>
          <w:sz w:val="21"/>
        </w:rPr>
        <w:t>Prepared for David Abraham  |  Verified August 1, 2026</w:t>
      </w:r>
    </w:p>
    <w:p>
      <w:pPr>
        <w:spacing w:before="80" w:after="200" w:line="288" w:lineRule="auto"/>
        <w:shd w:fill="E8F6F4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Start here: </w:t>
      </w:r>
      <w:r>
        <w:rPr>
          <w:rFonts w:ascii="Calibri" w:hAnsi="Calibri"/>
          <w:color w:val="1F2933"/>
        </w:rPr>
        <w:t>Viewing the live research workspace does not require a username, password, or access key. Open the web address below in Chrome, Edge, Safari, or a phone browser.</w:t>
      </w:r>
    </w:p>
    <w:p>
      <w:pPr>
        <w:spacing w:after="320"/>
      </w:pPr>
      <w:hyperlink r:id="rId11">
        <w:r>
          <w:rPr>
            <w:color w:val="168F89"/>
            <w:u w:val="single"/>
            <w:b/>
            <w:rFonts w:ascii="Calibri" w:hAnsi="Calibri"/>
            <w:sz w:val="22"/>
          </w:rPr>
          <w:t>Open David Leads</w:t>
        </w:r>
      </w:hyperlink>
    </w:p>
    <w:p>
      <w:pPr>
        <w:pStyle w:val="Heading1"/>
        <w:keepNext/>
      </w:pPr>
      <w:r>
        <w:t>What David Leads does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It gathers current organization-level records from official public sources, shows the business event that changed, explains why the timing may deserve research, and links back to the source record. It is a research desk, not a purchased contact list.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Choose all 27 Eastern markets, a region, or one state.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See live business and facility records with source links and receipts.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Focus on the strongest timing signals before doing manual research.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Keep every outreach decision behind a human compliance check.</w:t>
      </w:r>
    </w:p>
    <w:p>
      <w:pPr>
        <w:pStyle w:val="Heading2"/>
        <w:keepNext/>
      </w:pPr>
      <w:r>
        <w:t>Verified live check</w:t>
      </w:r>
    </w:p>
    <w:p>
      <w:pPr>
        <w:spacing w:after="120" w:line="300" w:lineRule="auto"/>
      </w:pPr>
      <w:r>
        <w:rPr>
          <w:rFonts w:ascii="Calibri" w:hAnsi="Calibri"/>
          <w:i/>
          <w:color w:val="5A6B7C"/>
        </w:rPr>
        <w:t>The figures below were observed during the August 1 verification. Counts change as public sources change.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Check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Observed result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Access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Public research opens with no login.</w:t>
            </w:r>
          </w:p>
        </w:tc>
      </w:tr>
      <w:t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Territory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27 Eastern states are selectable on desktop and mobile.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Live records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70 live records across the Eastern view; 53 in a deeper New York pull.</w:t>
            </w:r>
          </w:p>
        </w:tc>
      </w:tr>
      <w:t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Examples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0 sample records in the verified live pulls.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Health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Application, public data, and broker database all reported ready.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Your first five minutes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Open the link. The research workspace loads without a login.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Choose All East, a region, or one state. One state runs a deeper pull.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Read the Broker brief near the top. It points to the strongest current timing pattern.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Use the deal-moment buttons to narrow the list: life-plan timing, growth and awards, operational change, or needs research.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Open an organization to see the public event, likely fit, evidence, limits, and the next research step.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Open the official source before using any claim in a conversation.</w:t>
      </w:r>
    </w:p>
    <w:p>
      <w:pPr>
        <w:pStyle w:val="Heading2"/>
        <w:keepNext/>
      </w:pPr>
      <w:r>
        <w:t>What the screen is telling you</w:t>
      </w:r>
    </w:p>
    <w:p>
      <w:pPr>
        <w:spacing w:after="120" w:line="300" w:lineRule="auto"/>
      </w:pPr>
      <w:r>
        <w:rPr>
          <w:rFonts w:ascii="Calibri" w:hAnsi="Calibri"/>
          <w:b/>
          <w:color w:val="0A2540"/>
        </w:rPr>
        <w:t xml:space="preserve">Live organizations. </w:t>
      </w:r>
      <w:r>
        <w:rPr>
          <w:rFonts w:ascii="Calibri" w:hAnsi="Calibri"/>
          <w:i w:val="0"/>
          <w:color w:val="1F2933"/>
        </w:rPr>
        <w:t>Live organizations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The number of official records in the selected market. The count changes with the territory and source response.</w:t>
      </w:r>
    </w:p>
    <w:p>
      <w:pPr>
        <w:spacing w:after="120" w:line="300" w:lineRule="auto"/>
      </w:pPr>
      <w:r>
        <w:rPr>
          <w:rFonts w:ascii="Calibri" w:hAnsi="Calibri"/>
          <w:b/>
          <w:color w:val="0A2540"/>
        </w:rPr>
        <w:t xml:space="preserve">Source coverage. </w:t>
      </w:r>
      <w:r>
        <w:rPr>
          <w:rFonts w:ascii="Calibri" w:hAnsi="Calibri"/>
          <w:i w:val="0"/>
          <w:color w:val="1F2933"/>
        </w:rPr>
        <w:t>Source coverage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How many source lanes answered live. An unavailable source remains visible; it is never replaced by a fake record.</w:t>
      </w:r>
    </w:p>
    <w:p>
      <w:pPr>
        <w:spacing w:after="120" w:line="300" w:lineRule="auto"/>
      </w:pPr>
      <w:r>
        <w:rPr>
          <w:rFonts w:ascii="Calibri" w:hAnsi="Calibri"/>
          <w:b/>
          <w:color w:val="0A2540"/>
        </w:rPr>
        <w:t xml:space="preserve">Needs research. </w:t>
      </w:r>
      <w:r>
        <w:rPr>
          <w:rFonts w:ascii="Calibri" w:hAnsi="Calibri"/>
          <w:i w:val="0"/>
          <w:color w:val="1F2933"/>
        </w:rPr>
        <w:t>Needs research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Records worth checking. This is not the number of people cleared for contact.</w:t>
      </w:r>
    </w:p>
    <w:p>
      <w:pPr>
        <w:spacing w:after="120" w:line="300" w:lineRule="auto"/>
      </w:pPr>
      <w:r>
        <w:rPr>
          <w:rFonts w:ascii="Calibri" w:hAnsi="Calibri"/>
          <w:b/>
          <w:color w:val="0A2540"/>
        </w:rPr>
        <w:t xml:space="preserve">Timing window. </w:t>
      </w:r>
      <w:r>
        <w:rPr>
          <w:rFonts w:ascii="Calibri" w:hAnsi="Calibri"/>
          <w:i w:val="0"/>
          <w:color w:val="1F2933"/>
        </w:rPr>
        <w:t>Timing window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A date or filing field that may make the organization worth researching now. It is not proof of a sale, renewal, dissatisfaction, or insurance need.</w:t>
      </w:r>
    </w:p>
    <w:p>
      <w:pPr>
        <w:spacing w:before="80" w:after="200" w:line="288" w:lineRule="auto"/>
        <w:shd w:fill="FFF7E6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The key distinction: </w:t>
      </w:r>
      <w:r>
        <w:rPr>
          <w:rFonts w:ascii="Calibri" w:hAnsi="Calibri"/>
          <w:color w:val="1F2933"/>
        </w:rPr>
        <w:t>A visible public record is permission to research the organization. It is not permission to call, text, email, quote, or recommend a product.</w:t>
      </w:r>
    </w:p>
    <w:p>
      <w:r>
        <w:br w:type="page"/>
      </w:r>
    </w:p>
    <w:p>
      <w:pPr>
        <w:pStyle w:val="Heading1"/>
        <w:keepNext/>
      </w:pPr>
      <w:r>
        <w:t>How to use one opportunity</w:t>
      </w:r>
    </w:p>
    <w:p>
      <w:pPr>
        <w:pStyle w:val="Heading2"/>
        <w:keepNext/>
      </w:pPr>
      <w:r>
        <w:t>1. Verify the moment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Open the official source and confirm the organization name, date, location, and the exact event shown. If the record cannot be confirmed, stop and mark it for later research.</w:t>
      </w:r>
    </w:p>
    <w:p>
      <w:pPr>
        <w:pStyle w:val="Heading2"/>
        <w:keepNext/>
      </w:pPr>
      <w:r>
        <w:t>2. Qualify the fit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Visit the organization's own website. Understand what it does, whether the public event appears relevant, and whether a business-published channel exists. Treat the suggested product fit as a question to investigate, not an answer.</w:t>
      </w:r>
    </w:p>
    <w:p>
      <w:pPr>
        <w:pStyle w:val="Heading2"/>
        <w:keepNext/>
      </w:pPr>
      <w:r>
        <w:t>3. Clear outreach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Before contact, complete the required suppression, licensing, state-rule, purpose, and channel checks in the protected broker workflow. The public workspace intentionally keeps call-ready at zero.</w:t>
      </w:r>
    </w:p>
    <w:p>
      <w:pPr>
        <w:pStyle w:val="Heading2"/>
        <w:keepNext/>
      </w:pPr>
      <w:r>
        <w:t>Read the record correctly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Label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Plain-English meaning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Verified deal moment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The fact returned by the official source.</w:t>
            </w:r>
          </w:p>
        </w:tc>
      </w:tr>
      <w:t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Why now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Why the event may deserve timely research.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Likely fit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A business question to investigate, not advice or eligibility.</w:t>
            </w:r>
          </w:p>
        </w:tc>
      </w:tr>
      <w:t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Evidence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The source link, record ID, and receipt attached to the item.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Limitations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What the public record does not prove.</w:t>
            </w:r>
          </w:p>
        </w:tc>
      </w:tr>
      <w:t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Call ready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Whether outreach checks have passed. Public view stays at zero.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Where the live records come from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The application checks official public sources independently. Each lane reports LIVE, UNAVAILABLE, or NOT APPLICABLE for the selected market.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50"/>
        <w:gridCol w:w="1650"/>
        <w:gridCol w:w="4560"/>
      </w:tblGrid>
      <w:tr>
        <w:trPr>
          <w:tblHeader w:val="true"/>
        </w:trP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Official source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Verified state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What it can show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U.S. Department of Labor Form 5500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168F89"/>
                <w:sz w:val="20"/>
              </w:rPr>
              <w:t>LIVE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Benefit-plan filings and reported plan or policy timing fields.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FMCSA Company Census</w:t>
            </w:r>
          </w:p>
        </w:tc>
        <w:tc>
          <w:tcPr>
            <w:tcW w:type="dxa" w:w="16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168F89"/>
                <w:sz w:val="20"/>
              </w:rPr>
              <w:t>LIVE</w:t>
            </w:r>
          </w:p>
        </w:tc>
        <w:tc>
          <w:tcPr>
            <w:tcW w:type="dxa" w:w="45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Organization-level carrier registration activity.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USAspending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168F89"/>
                <w:sz w:val="20"/>
              </w:rPr>
              <w:t>LIVE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Federal contract activity in the current query window.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EPA ECHO</w:t>
            </w:r>
          </w:p>
        </w:tc>
        <w:tc>
          <w:tcPr>
            <w:tcW w:type="dxa" w:w="16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168F89"/>
                <w:sz w:val="20"/>
              </w:rPr>
              <w:t>LIVE</w:t>
            </w:r>
          </w:p>
        </w:tc>
        <w:tc>
          <w:tcPr>
            <w:tcW w:type="dxa" w:w="45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Organization and facility compliance-monitoring activity.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FCC ULS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UNAVAILABLE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Organization wireless-license activity when the source answers.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Chicago business licenses</w:t>
            </w:r>
          </w:p>
        </w:tc>
        <w:tc>
          <w:tcPr>
            <w:tcW w:type="dxa" w:w="16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UNAVAILABLE</w:t>
            </w:r>
          </w:p>
        </w:tc>
        <w:tc>
          <w:tcPr>
            <w:tcW w:type="dxa" w:w="45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New active business-license records when applicable.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SAM.gov entity updates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UNAVAILABLE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Active entity updates when the source and credential are available.</w:t>
            </w:r>
          </w:p>
        </w:tc>
      </w:tr>
    </w:tbl>
    <w:p>
      <w:pPr>
        <w:pStyle w:val="Heading2"/>
        <w:keepNext/>
      </w:pPr>
      <w:r>
        <w:t>What is deliberately excluded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Personal social-media profiles, private contacts, and hidden contact enrichment.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Health, age, race, religion, family status, wealth, or insurability inferences.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Named filing signers, administrators, donors, or executives used as personal leads.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Automatic contact permission, automatic quoting, or an underwriting conclusion.</w:t>
      </w:r>
    </w:p>
    <w:p>
      <w:r>
        <w:br w:type="page"/>
      </w:r>
    </w:p>
    <w:p>
      <w:pPr>
        <w:pStyle w:val="Heading1"/>
        <w:keepNext/>
      </w:pPr>
      <w:r>
        <w:t>A practical daily routine</w:t>
      </w:r>
    </w:p>
    <w:p>
      <w:pPr>
        <w:pStyle w:val="Heading2"/>
        <w:keepNext/>
      </w:pPr>
      <w:r>
        <w:t>Morning: choose the research queue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Open the Broker view and check the release stamp.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Choose your state or region; start with one state for depth.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Read the Broker brief and pick five organizations to verify.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Open every official source before writing a note.</w:t>
      </w:r>
    </w:p>
    <w:p>
      <w:pPr>
        <w:pStyle w:val="Heading2"/>
        <w:keepNext/>
      </w:pPr>
      <w:r>
        <w:t>Research block: turn records into qualified questions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Confirm the organization and event on the official record.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Check the organization's own website for current operations and a business-published channel.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Write down what is known, what is inferred, and what remains unknown.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Do not copy sensitive person-level fields into your notes.</w:t>
      </w:r>
    </w:p>
    <w:p>
      <w:pPr>
        <w:pStyle w:val="Heading2"/>
        <w:keepNext/>
      </w:pPr>
      <w:r>
        <w:t>Before any outreach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The organization and event were verified.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The channel was published by the business itself.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Suppression and Do-Not-Contact checks passed.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Licensing and state rules were checked.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The purpose and product discussion are permitted.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The record does not rely on a sample or unavailable source.</w:t>
      </w:r>
    </w:p>
    <w:p>
      <w:pPr>
        <w:spacing w:before="80" w:after="200" w:line="288" w:lineRule="auto"/>
        <w:shd w:fill="FFF7E6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If any check is missing: </w:t>
      </w:r>
      <w:r>
        <w:rPr>
          <w:rFonts w:ascii="Calibri" w:hAnsi="Calibri"/>
          <w:color w:val="1F2933"/>
        </w:rPr>
        <w:t>Do more research or stop. The application is designed to make uncertainty visible, not to push every record into a call list.</w:t>
      </w:r>
    </w:p>
    <w:p>
      <w:r>
        <w:br w:type="page"/>
      </w:r>
    </w:p>
    <w:p>
      <w:pPr>
        <w:pStyle w:val="Heading1"/>
        <w:keepNext/>
      </w:pPr>
      <w:r>
        <w:t>Five-minute meeting walkthrough</w:t>
      </w:r>
    </w:p>
    <w:p>
      <w:pPr>
        <w:spacing w:after="120" w:line="300" w:lineRule="auto"/>
      </w:pPr>
      <w:r>
        <w:rPr>
          <w:rFonts w:ascii="Calibri" w:hAnsi="Calibri"/>
          <w:i/>
          <w:color w:val="5A6B7C"/>
        </w:rPr>
        <w:t>Use this sequence when showing David Leads to a broker, manager, or investor.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Open the app and say: 'This is live organization research from official public records, not a contact list.'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Show the 27-state territory selector and focus New York.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Point to Live organizations, Source coverage, and Needs research. Explain that unavailable sources stay visible.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Open one organization. Read the event, why now, official source, and limitations.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Show the receipt or proof link. Explain that the public record can be checked before use.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1F2933"/>
        </w:rPr>
        <w:t>End with the contact gate: research is public; outreach still requires protected human clearance.</w:t>
      </w:r>
    </w:p>
    <w:p>
      <w:pPr>
        <w:pStyle w:val="Heading2"/>
        <w:keepNext/>
      </w:pPr>
      <w:r>
        <w:t>A simple opening line</w:t>
      </w:r>
    </w:p>
    <w:p>
      <w:pPr>
        <w:spacing w:before="80" w:after="200" w:line="288" w:lineRule="auto"/>
        <w:shd w:fill="E8EEF5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Say: </w:t>
      </w:r>
      <w:r>
        <w:rPr>
          <w:rFonts w:ascii="Calibri" w:hAnsi="Calibri"/>
          <w:color w:val="1F2933"/>
        </w:rPr>
        <w:t>David Leads helps you decide which organizations to research first, why the timing may matter, and exactly which official record to verify before a compliant conversation.</w:t>
      </w:r>
    </w:p>
    <w:p>
      <w:pPr>
        <w:pStyle w:val="Heading2"/>
        <w:keepNext/>
      </w:pPr>
      <w:r>
        <w:t>What not to claim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Do not say every record is a lead ready to call.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Do not say a filing proves need, dissatisfaction, renewal, eligibility, or buying intent.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Do not say a product fit is a recommendation or quote.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Do not say the system uses private profiles or secret contact data.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3"/>
        </w:rPr>
        <w:t>Do not call a source LIVE if the coverage panel says UNAVAILABLE.</w:t>
      </w:r>
    </w:p>
    <w:p>
      <w:r>
        <w:br w:type="page"/>
      </w:r>
    </w:p>
    <w:p>
      <w:pPr>
        <w:pStyle w:val="Heading1"/>
        <w:keepNext/>
      </w:pPr>
      <w:r>
        <w:t>If something looks wrong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50"/>
        <w:gridCol w:w="6210"/>
      </w:tblGrid>
      <w:tr>
        <w:trPr>
          <w:tblHeader w:val="true"/>
        </w:trP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What you see</w:t>
            </w:r>
          </w:p>
        </w:tc>
        <w:tc>
          <w:tcPr>
            <w:tcW w:type="dxa" w:w="6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What to do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The page is still opening</w:t>
            </w:r>
          </w:p>
        </w:tc>
        <w:tc>
          <w:tcPr>
            <w:tcW w:type="dxa" w:w="6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Wait for the opening screen to disappear, then refresh once.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A source says UNAVAILABLE</w:t>
            </w:r>
          </w:p>
        </w:tc>
        <w:tc>
          <w:tcPr>
            <w:tcW w:type="dxa" w:w="621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Use another live source or return later. Do not treat the outage as a zero or a live result.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A state has few records</w:t>
            </w:r>
          </w:p>
        </w:tc>
        <w:tc>
          <w:tcPr>
            <w:tcW w:type="dxa" w:w="6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Select that one state to run the deeper state-specific pull.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The count changed</w:t>
            </w:r>
          </w:p>
        </w:tc>
        <w:tc>
          <w:tcPr>
            <w:tcW w:type="dxa" w:w="621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That is expected. Counts follow current public-source responses and the chosen territory.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A record looks surprising</w:t>
            </w:r>
          </w:p>
        </w:tc>
        <w:tc>
          <w:tcPr>
            <w:tcW w:type="dxa" w:w="6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Open the official source and confirm it. If it cannot be confirmed, do not use it.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You need saved notes or outreach actions</w:t>
            </w:r>
          </w:p>
        </w:tc>
        <w:tc>
          <w:tcPr>
            <w:tcW w:type="dxa" w:w="621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Those functions belong in the protected broker workflow and are not exposed in the public research view.</w:t>
            </w:r>
          </w:p>
        </w:tc>
      </w:tr>
    </w:tbl>
    <w:p>
      <w:pPr>
        <w:pStyle w:val="Heading1"/>
        <w:keepNext/>
      </w:pPr>
      <w:r>
        <w:t>The one rule to remember</w:t>
      </w:r>
    </w:p>
    <w:p>
      <w:pPr>
        <w:spacing w:before="80" w:after="200" w:line="288" w:lineRule="auto"/>
        <w:shd w:fill="E8F6F4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Use David Leads to decide what to research first. </w:t>
      </w:r>
      <w:r>
        <w:rPr>
          <w:rFonts w:ascii="Calibri" w:hAnsi="Calibri"/>
          <w:color w:val="1F2933"/>
        </w:rPr>
        <w:t>Use the official record to verify why. Use the protected clearance process to decide whether contact is permitted.</w:t>
      </w:r>
    </w:p>
    <w:p>
      <w:pPr>
        <w:spacing w:after="120" w:line="300" w:lineRule="auto"/>
      </w:pPr>
      <w:r>
        <w:rPr>
          <w:rFonts w:ascii="Calibri" w:hAnsi="Calibri"/>
          <w:i/>
          <w:color w:val="5A6B7C"/>
        </w:rPr>
        <w:t>Public organization data only. No passwords or access keys are printed in this guide.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B7C"/>
        <w:sz w:val="17"/>
      </w:rPr>
      <w:t xml:space="preserve">Verified operating guide  |  August 2026  |  </w:t>
    </w:r>
    <w:r>
      <w:rPr>
        <w:rFonts w:ascii="Calibri" w:hAnsi="Calibri"/>
        <w:color w:val="5A6B7C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6B7C"/>
        <w:sz w:val="17"/>
      </w:rPr>
      <w:t>DAVID LEADS  |  BROKER FIELD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68F8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A25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Calibri" w:hAnsi="Calibri"/>
      <w:i/>
      <w:iCs/>
      <w:color w:val="5A6B7C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zlholdings-david-leads.hf.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Leads Broker Field Guide</dc:title>
  <dc:subject>Plain-English operating guide for David Abraham</dc:subject>
  <dc:creator>SZL Holdings</dc:creator>
  <cp:keywords>David Leads, broker, public data, Eastern United States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