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</w:pPr>
      <w:r>
        <w:rPr>
          <w:rFonts w:ascii="Calibri" w:hAnsi="Calibri"/>
          <w:b/>
          <w:i w:val="0"/>
          <w:color w:val="148984"/>
          <w:sz w:val="18"/>
        </w:rPr>
        <w:t>BROKER OPERATING GUIDE</w:t>
      </w:r>
    </w:p>
    <w:p>
      <w:pPr>
        <w:spacing w:before="0" w:after="120"/>
      </w:pPr>
      <w:r>
        <w:rPr>
          <w:rFonts w:ascii="Calibri" w:hAnsi="Calibri"/>
          <w:b/>
          <w:i w:val="0"/>
          <w:color w:val="0B2545"/>
          <w:sz w:val="60"/>
        </w:rPr>
        <w:t>David Leads</w:t>
      </w:r>
    </w:p>
    <w:p>
      <w:pPr>
        <w:spacing w:after="360"/>
      </w:pPr>
      <w:r>
        <w:rPr>
          <w:rFonts w:ascii="Calibri" w:hAnsi="Calibri"/>
          <w:b w:val="0"/>
          <w:i w:val="0"/>
          <w:color w:val="5C697A"/>
          <w:sz w:val="28"/>
        </w:rPr>
        <w:t>From verified public signal to the next lawful broker action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shd w:fill="0B2545"/>
            <w:tcMar>
              <w:top w:w="130" w:type="dxa"/>
              <w:bottom w:w="13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AT A GLANCE</w:t>
            </w:r>
          </w:p>
        </w:tc>
        <w:tc>
          <w:tcPr>
            <w:tcW w:type="dxa" w:w="7160"/>
            <w:vAlign w:val="center"/>
            <w:shd w:fill="0B2545"/>
            <w:tcMar>
              <w:top w:w="130" w:type="dxa"/>
              <w:bottom w:w="13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WHAT IT MEANS</w:t>
            </w:r>
          </w:p>
        </w:tc>
      </w:tr>
      <w:tr>
        <w:trPr/>
        <w:tc>
          <w:tcPr>
            <w:tcW w:type="dxa" w:w="2200"/>
            <w:vAlign w:val="center"/>
            <w:shd w:fill="E8EEF5"/>
            <w:tcMar>
              <w:top w:w="130" w:type="dxa"/>
              <w:bottom w:w="13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b/>
                <w:i w:val="0"/>
                <w:color w:val="148984"/>
                <w:sz w:val="17"/>
              </w:rPr>
              <w:t>OPEN</w:t>
            </w:r>
          </w:p>
        </w:tc>
        <w:tc>
          <w:tcPr>
            <w:tcW w:type="dxa" w:w="7160"/>
            <w:vAlign w:val="center"/>
            <w:shd w:fill="FFFFFF"/>
            <w:tcMar>
              <w:top w:w="130" w:type="dxa"/>
              <w:bottom w:w="13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No login for the public research view</w:t>
            </w:r>
          </w:p>
        </w:tc>
      </w:tr>
      <w:tr>
        <w:trPr/>
        <w:tc>
          <w:tcPr>
            <w:tcW w:type="dxa" w:w="2200"/>
            <w:vAlign w:val="center"/>
            <w:shd w:fill="E8EEF5"/>
            <w:tcMar>
              <w:top w:w="130" w:type="dxa"/>
              <w:bottom w:w="13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b/>
                <w:i w:val="0"/>
                <w:color w:val="148984"/>
                <w:sz w:val="17"/>
              </w:rPr>
              <w:t>COVERAGE</w:t>
            </w:r>
          </w:p>
        </w:tc>
        <w:tc>
          <w:tcPr>
            <w:tcW w:type="dxa" w:w="7160"/>
            <w:vAlign w:val="center"/>
            <w:shd w:fill="FFFFFF"/>
            <w:tcMar>
              <w:top w:w="130" w:type="dxa"/>
              <w:bottom w:w="13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27 Eastern U.S. markets</w:t>
            </w:r>
          </w:p>
        </w:tc>
      </w:tr>
      <w:tr>
        <w:trPr/>
        <w:tc>
          <w:tcPr>
            <w:tcW w:type="dxa" w:w="2200"/>
            <w:vAlign w:val="center"/>
            <w:shd w:fill="E8EEF5"/>
            <w:tcMar>
              <w:top w:w="130" w:type="dxa"/>
              <w:bottom w:w="13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b/>
                <w:i w:val="0"/>
                <w:color w:val="148984"/>
                <w:sz w:val="17"/>
              </w:rPr>
              <w:t>PRIMARY USE</w:t>
            </w:r>
          </w:p>
        </w:tc>
        <w:tc>
          <w:tcPr>
            <w:tcW w:type="dxa" w:w="7160"/>
            <w:vAlign w:val="center"/>
            <w:shd w:fill="FFFFFF"/>
            <w:tcMar>
              <w:top w:w="130" w:type="dxa"/>
              <w:bottom w:w="13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Choose what to research first</w:t>
            </w:r>
          </w:p>
        </w:tc>
      </w:tr>
      <w:tr>
        <w:trPr/>
        <w:tc>
          <w:tcPr>
            <w:tcW w:type="dxa" w:w="2200"/>
            <w:vAlign w:val="center"/>
            <w:shd w:fill="E8EEF5"/>
            <w:tcMar>
              <w:top w:w="130" w:type="dxa"/>
              <w:bottom w:w="13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b/>
                <w:i w:val="0"/>
                <w:color w:val="148984"/>
                <w:sz w:val="17"/>
              </w:rPr>
              <w:t>CONTACT</w:t>
            </w:r>
          </w:p>
        </w:tc>
        <w:tc>
          <w:tcPr>
            <w:tcW w:type="dxa" w:w="7160"/>
            <w:vAlign w:val="center"/>
            <w:shd w:fill="FFFFFF"/>
            <w:tcMar>
              <w:top w:w="130" w:type="dxa"/>
              <w:bottom w:w="13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Always blocked until protected clearance</w:t>
            </w:r>
          </w:p>
        </w:tc>
      </w:tr>
    </w:tbl>
    <w:p>
      <w:pPr>
        <w:spacing w:before="0" w:after="40" w:line="300" w:lineRule="auto"/>
      </w:pPr>
      <w:r>
        <w:rPr>
          <w:rFonts w:ascii="Calibri" w:hAnsi="Calibri"/>
          <w:b/>
          <w:i w:val="0"/>
          <w:color w:val="148984"/>
          <w:sz w:val="18"/>
        </w:rPr>
        <w:t>Open the application</w:t>
      </w:r>
    </w:p>
    <w:p>
      <w:pPr>
        <w:spacing w:before="0" w:after="240" w:line="300" w:lineRule="auto"/>
      </w:pPr>
      <w:r>
        <w:rPr>
          <w:rFonts w:ascii="Calibri" w:hAnsi="Calibri"/>
          <w:b/>
          <w:i w:val="0"/>
          <w:color w:val="2E74B5"/>
          <w:sz w:val="24"/>
        </w:rPr>
        <w:t>https://szlholdings-david-leads.hf.space/</w:t>
      </w:r>
    </w:p>
    <w:p>
      <w:pPr>
        <w:spacing w:before="80" w:after="200" w:line="288" w:lineRule="auto"/>
        <w:ind w:left="173" w:right="173"/>
        <w:shd w:fill="E7F5F3"/>
        <w:pBdr>
          <w:left w:val="single" w:sz="18" w:space="8" w:color="148984"/>
        </w:pBdr>
      </w:pPr>
      <w:r>
        <w:rPr>
          <w:rFonts w:ascii="Calibri" w:hAnsi="Calibri"/>
          <w:b/>
          <w:i w:val="0"/>
          <w:color w:val="0B2545"/>
          <w:sz w:val="22"/>
        </w:rPr>
        <w:t xml:space="preserve">The simple rule: </w:t>
      </w:r>
      <w:r>
        <w:rPr>
          <w:rFonts w:ascii="Calibri" w:hAnsi="Calibri"/>
          <w:b w:val="0"/>
          <w:i w:val="0"/>
          <w:color w:val="1C2737"/>
          <w:sz w:val="22"/>
        </w:rPr>
        <w:t>Use David Leads to decide what to research first. Use the official record to verify why. Use the protected clearance process to decide whether contact is permitted.</w:t>
      </w:r>
    </w:p>
    <w:p>
      <w:pPr>
        <w:pStyle w:val="Heading1"/>
        <w:keepNext/>
      </w:pPr>
      <w:r>
        <w:t>What this application does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C2737"/>
          <w:sz w:val="22"/>
        </w:rPr>
        <w:t>David Leads organizes official organization-level records into a practical research queue. It shows the company, the observed change, the timing, the likely protection-planning fit, and the evidence behind the item.</w:t>
      </w:r>
    </w:p>
    <w:p>
      <w:pPr>
        <w:spacing w:before="80" w:after="200" w:line="288" w:lineRule="auto"/>
        <w:ind w:left="173" w:right="173"/>
        <w:shd w:fill="FFF7E5"/>
        <w:pBdr>
          <w:left w:val="single" w:sz="18" w:space="8" w:color="B78921"/>
        </w:pBdr>
      </w:pPr>
      <w:r>
        <w:rPr>
          <w:rFonts w:ascii="Calibri" w:hAnsi="Calibri"/>
          <w:b/>
          <w:i w:val="0"/>
          <w:color w:val="0B2545"/>
          <w:sz w:val="22"/>
        </w:rPr>
        <w:t xml:space="preserve">Important: </w:t>
      </w:r>
      <w:r>
        <w:rPr>
          <w:rFonts w:ascii="Calibri" w:hAnsi="Calibri"/>
          <w:b w:val="0"/>
          <w:i w:val="0"/>
          <w:color w:val="1C2737"/>
          <w:sz w:val="22"/>
        </w:rPr>
        <w:t>It is not a purchased contact list. It never turns a public record into permission to call, email, market, or make an underwriting decision.</w:t>
      </w:r>
    </w:p>
    <w:p>
      <w:r>
        <w:br w:type="page"/>
      </w:r>
    </w:p>
    <w:p>
      <w:pPr>
        <w:pStyle w:val="Heading1"/>
        <w:keepNext/>
      </w:pPr>
      <w:r>
        <w:t>Start your day in five minutes</w:t>
      </w:r>
    </w:p>
    <w:p>
      <w:pPr>
        <w:pStyle w:val="ListNumber"/>
        <w:spacing w:after="120" w:line="300" w:lineRule="auto"/>
        <w:ind w:left="540" w:hanging="271"/>
      </w:pPr>
      <w:r>
        <w:rPr>
          <w:rFonts w:ascii="Calibri" w:hAnsi="Calibri"/>
          <w:b/>
          <w:i w:val="0"/>
          <w:color w:val="0B2545"/>
          <w:sz w:val="22"/>
        </w:rPr>
        <w:t xml:space="preserve">Read the Broker brief. </w:t>
      </w:r>
      <w:r>
        <w:rPr>
          <w:rFonts w:ascii="Calibri" w:hAnsi="Calibri"/>
          <w:b w:val="0"/>
          <w:i w:val="0"/>
          <w:color w:val="1C2737"/>
          <w:sz w:val="22"/>
        </w:rPr>
        <w:t>It summarizes the strongest timing pattern in the current official-source pull.</w:t>
      </w:r>
    </w:p>
    <w:p>
      <w:pPr>
        <w:pStyle w:val="ListNumber"/>
        <w:spacing w:after="120" w:line="300" w:lineRule="auto"/>
        <w:ind w:left="540" w:hanging="271"/>
      </w:pPr>
      <w:r>
        <w:rPr>
          <w:rFonts w:ascii="Calibri" w:hAnsi="Calibri"/>
          <w:b/>
          <w:i w:val="0"/>
          <w:color w:val="0B2545"/>
          <w:sz w:val="22"/>
        </w:rPr>
        <w:t xml:space="preserve">Choose a territory. </w:t>
      </w:r>
      <w:r>
        <w:rPr>
          <w:rFonts w:ascii="Calibri" w:hAnsi="Calibri"/>
          <w:b w:val="0"/>
          <w:i w:val="0"/>
          <w:color w:val="1C2737"/>
          <w:sz w:val="22"/>
        </w:rPr>
        <w:t>Select All East, a region, or one state. One state runs a deeper market-specific search.</w:t>
      </w:r>
    </w:p>
    <w:p>
      <w:pPr>
        <w:pStyle w:val="ListNumber"/>
        <w:spacing w:after="120" w:line="300" w:lineRule="auto"/>
        <w:ind w:left="540" w:hanging="271"/>
      </w:pPr>
      <w:r>
        <w:rPr>
          <w:rFonts w:ascii="Calibri" w:hAnsi="Calibri"/>
          <w:b/>
          <w:i w:val="0"/>
          <w:color w:val="0B2545"/>
          <w:sz w:val="22"/>
        </w:rPr>
        <w:t xml:space="preserve">Choose a deal moment. </w:t>
      </w:r>
      <w:r>
        <w:rPr>
          <w:rFonts w:ascii="Calibri" w:hAnsi="Calibri"/>
          <w:b w:val="0"/>
          <w:i w:val="0"/>
          <w:color w:val="1C2737"/>
          <w:sz w:val="22"/>
        </w:rPr>
        <w:t>Use Life-plan timing, Growth &amp; awards, Operational change, or Needs research.</w:t>
      </w:r>
    </w:p>
    <w:p>
      <w:pPr>
        <w:pStyle w:val="ListNumber"/>
        <w:spacing w:after="120" w:line="300" w:lineRule="auto"/>
        <w:ind w:left="540" w:hanging="271"/>
      </w:pPr>
      <w:r>
        <w:rPr>
          <w:rFonts w:ascii="Calibri" w:hAnsi="Calibri"/>
          <w:b/>
          <w:i w:val="0"/>
          <w:color w:val="0B2545"/>
          <w:sz w:val="22"/>
        </w:rPr>
        <w:t xml:space="preserve">Open the strongest account. </w:t>
      </w:r>
      <w:r>
        <w:rPr>
          <w:rFonts w:ascii="Calibri" w:hAnsi="Calibri"/>
          <w:b w:val="0"/>
          <w:i w:val="0"/>
          <w:color w:val="1C2737"/>
          <w:sz w:val="22"/>
        </w:rPr>
        <w:t>Review the timing, likely fit, evidence, limitations, and three-step broker action.</w:t>
      </w:r>
    </w:p>
    <w:p>
      <w:pPr>
        <w:pStyle w:val="ListNumber"/>
        <w:spacing w:after="120" w:line="300" w:lineRule="auto"/>
        <w:ind w:left="540" w:hanging="271"/>
      </w:pPr>
      <w:r>
        <w:rPr>
          <w:rFonts w:ascii="Calibri" w:hAnsi="Calibri"/>
          <w:b/>
          <w:i w:val="0"/>
          <w:color w:val="0B2545"/>
          <w:sz w:val="22"/>
        </w:rPr>
        <w:t xml:space="preserve">Verify before doing anything else. </w:t>
      </w:r>
      <w:r>
        <w:rPr>
          <w:rFonts w:ascii="Calibri" w:hAnsi="Calibri"/>
          <w:b w:val="0"/>
          <w:i w:val="0"/>
          <w:color w:val="1C2737"/>
          <w:sz w:val="22"/>
        </w:rPr>
        <w:t>Open the cited official record and confirm that the organization and event are current.</w:t>
      </w:r>
    </w:p>
    <w:p>
      <w:pPr>
        <w:pStyle w:val="Heading1"/>
        <w:keepNext/>
      </w:pPr>
      <w:r>
        <w:t>The four deal-moment lanes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i w:val="0"/>
          <w:color w:val="0B2545"/>
          <w:sz w:val="22"/>
        </w:rPr>
        <w:t>Life-plan timing:</w:t>
      </w:r>
      <w:r>
        <w:rPr>
          <w:rFonts w:ascii="Calibri" w:hAnsi="Calibri"/>
          <w:b w:val="0"/>
          <w:i w:val="0"/>
          <w:color w:val="1C2737"/>
          <w:sz w:val="22"/>
        </w:rPr>
        <w:t xml:space="preserve"> Employers whose official Department of Labor filing reports a group-life benefit and a plan or policy anniversary.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i w:val="0"/>
          <w:color w:val="0B2545"/>
          <w:sz w:val="22"/>
        </w:rPr>
        <w:t>Growth &amp; awards:</w:t>
      </w:r>
      <w:r>
        <w:rPr>
          <w:rFonts w:ascii="Calibri" w:hAnsi="Calibri"/>
          <w:b w:val="0"/>
          <w:i w:val="0"/>
          <w:color w:val="1C2737"/>
          <w:sz w:val="22"/>
        </w:rPr>
        <w:t xml:space="preserve"> Current federal contract activity that may justify a business-protection, continuity, or workforce review.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i w:val="0"/>
          <w:color w:val="0B2545"/>
          <w:sz w:val="22"/>
        </w:rPr>
        <w:t>Operational change:</w:t>
      </w:r>
      <w:r>
        <w:rPr>
          <w:rFonts w:ascii="Calibri" w:hAnsi="Calibri"/>
          <w:b w:val="0"/>
          <w:i w:val="0"/>
          <w:color w:val="1C2737"/>
          <w:sz w:val="22"/>
        </w:rPr>
        <w:t xml:space="preserve"> Carrier registrations, facility monitoring activity, and other official organization events.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/>
          <w:i w:val="0"/>
          <w:color w:val="0B2545"/>
          <w:sz w:val="22"/>
        </w:rPr>
        <w:t>Needs research:</w:t>
      </w:r>
      <w:r>
        <w:rPr>
          <w:rFonts w:ascii="Calibri" w:hAnsi="Calibri"/>
          <w:b w:val="0"/>
          <w:i w:val="0"/>
          <w:color w:val="1C2737"/>
          <w:sz w:val="22"/>
        </w:rPr>
        <w:t xml:space="preserve"> Every account that still requires source verification, product-fit review, and protected contact clearance.</w:t>
      </w:r>
    </w:p>
    <w:p>
      <w:pPr>
        <w:spacing w:before="80" w:after="200" w:line="288" w:lineRule="auto"/>
        <w:ind w:left="173" w:right="173"/>
        <w:shd w:fill="E7F5F3"/>
        <w:pBdr>
          <w:left w:val="single" w:sz="18" w:space="8" w:color="148984"/>
        </w:pBdr>
      </w:pPr>
      <w:r>
        <w:rPr>
          <w:rFonts w:ascii="Calibri" w:hAnsi="Calibri"/>
          <w:b/>
          <w:i w:val="0"/>
          <w:color w:val="0B2545"/>
          <w:sz w:val="22"/>
        </w:rPr>
        <w:t xml:space="preserve">Timing label: </w:t>
      </w:r>
      <w:r>
        <w:rPr>
          <w:rFonts w:ascii="Calibri" w:hAnsi="Calibri"/>
          <w:b w:val="0"/>
          <w:i w:val="0"/>
          <w:color w:val="1C2737"/>
          <w:sz w:val="22"/>
        </w:rPr>
        <w:t>A Form 5500 anniversary is a research hypothesis. It is not proof of a renewal, dissatisfaction, buying intent, eligibility, or insurability.</w:t>
      </w:r>
    </w:p>
    <w:p>
      <w:r>
        <w:br w:type="page"/>
      </w:r>
    </w:p>
    <w:p>
      <w:pPr>
        <w:pStyle w:val="Heading1"/>
        <w:keepNext/>
      </w:pPr>
      <w:r>
        <w:t>How to read an account</w:t>
      </w:r>
    </w:p>
    <w:p>
      <w:pPr>
        <w:pStyle w:val="Heading2"/>
        <w:keepNext/>
      </w:pPr>
      <w:r>
        <w:t>Verified deal moment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C2737"/>
          <w:sz w:val="22"/>
        </w:rPr>
        <w:t>The organization-level fact returned by the official source. Read this before the product idea.</w:t>
      </w:r>
    </w:p>
    <w:p>
      <w:pPr>
        <w:pStyle w:val="Heading2"/>
        <w:keepNext/>
      </w:pPr>
      <w:r>
        <w:t>Timing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C2737"/>
          <w:sz w:val="22"/>
        </w:rPr>
        <w:t>The observed date or the next anniversary calculated from a previously reported plan or policy period.</w:t>
      </w:r>
    </w:p>
    <w:p>
      <w:pPr>
        <w:pStyle w:val="Heading2"/>
        <w:keepNext/>
      </w:pPr>
      <w:r>
        <w:t>Likely fit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C2737"/>
          <w:sz w:val="22"/>
        </w:rPr>
        <w:t>A reason to investigate protection planning. It is not a recommendation, quote, coverage determination, or statement that David is appointed or licensed for every product shown by the source.</w:t>
      </w:r>
    </w:p>
    <w:p>
      <w:pPr>
        <w:pStyle w:val="Heading2"/>
        <w:keepNext/>
      </w:pPr>
      <w:r>
        <w:t>Evidence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C2737"/>
          <w:sz w:val="22"/>
        </w:rPr>
        <w:t>Direct filing or official record shows the evidence class. Source receipt linked means the normalized observation has a checkable proof record.</w:t>
      </w:r>
    </w:p>
    <w:p>
      <w:pPr>
        <w:pStyle w:val="Heading2"/>
        <w:keepNext/>
      </w:pPr>
      <w:r>
        <w:t>Contact state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C2737"/>
          <w:sz w:val="22"/>
        </w:rPr>
        <w:t>Cleared to contact stays at zero in the public view. That is intentional. Public visibility does not create consent.</w:t>
      </w:r>
    </w:p>
    <w:p>
      <w:pPr>
        <w:pStyle w:val="Heading1"/>
        <w:keepNext/>
      </w:pPr>
      <w:r>
        <w:t>The three-step broker action</w:t>
      </w:r>
    </w:p>
    <w:p>
      <w:pPr>
        <w:pStyle w:val="ListNumber"/>
        <w:spacing w:after="120" w:line="300" w:lineRule="auto"/>
        <w:ind w:left="540" w:hanging="271"/>
      </w:pPr>
      <w:r>
        <w:rPr>
          <w:rFonts w:ascii="Calibri" w:hAnsi="Calibri"/>
          <w:b/>
          <w:i w:val="0"/>
          <w:color w:val="0B2545"/>
          <w:sz w:val="22"/>
        </w:rPr>
        <w:t xml:space="preserve">Verify the moment. </w:t>
      </w:r>
      <w:r>
        <w:rPr>
          <w:rFonts w:ascii="Calibri" w:hAnsi="Calibri"/>
          <w:b w:val="0"/>
          <w:i w:val="0"/>
          <w:color w:val="1C2737"/>
          <w:sz w:val="22"/>
        </w:rPr>
        <w:t>Open the cited source and confirm the organization, reported date, and relevant filing field.</w:t>
      </w:r>
    </w:p>
    <w:p>
      <w:pPr>
        <w:pStyle w:val="ListNumber"/>
        <w:spacing w:after="120" w:line="300" w:lineRule="auto"/>
        <w:ind w:left="540" w:hanging="271"/>
      </w:pPr>
      <w:r>
        <w:rPr>
          <w:rFonts w:ascii="Calibri" w:hAnsi="Calibri"/>
          <w:b/>
          <w:i w:val="0"/>
          <w:color w:val="0B2545"/>
          <w:sz w:val="22"/>
        </w:rPr>
        <w:t xml:space="preserve">Qualify the fit. </w:t>
      </w:r>
      <w:r>
        <w:rPr>
          <w:rFonts w:ascii="Calibri" w:hAnsi="Calibri"/>
          <w:b w:val="0"/>
          <w:i w:val="0"/>
          <w:color w:val="1C2737"/>
          <w:sz w:val="22"/>
        </w:rPr>
        <w:t>Use the organization’s own website to understand its operations and find a business-published channel.</w:t>
      </w:r>
    </w:p>
    <w:p>
      <w:pPr>
        <w:pStyle w:val="ListNumber"/>
        <w:spacing w:after="120" w:line="300" w:lineRule="auto"/>
        <w:ind w:left="540" w:hanging="271"/>
      </w:pPr>
      <w:r>
        <w:rPr>
          <w:rFonts w:ascii="Calibri" w:hAnsi="Calibri"/>
          <w:b/>
          <w:i w:val="0"/>
          <w:color w:val="0B2545"/>
          <w:sz w:val="22"/>
        </w:rPr>
        <w:t xml:space="preserve">Clear outreach. </w:t>
      </w:r>
      <w:r>
        <w:rPr>
          <w:rFonts w:ascii="Calibri" w:hAnsi="Calibri"/>
          <w:b w:val="0"/>
          <w:i w:val="0"/>
          <w:color w:val="1C2737"/>
          <w:sz w:val="22"/>
        </w:rPr>
        <w:t>In the protected workflow, complete suppression, licensing, state-rule, purpose, and channel checks before any call or email.</w:t>
      </w:r>
    </w:p>
    <w:p>
      <w:r>
        <w:br w:type="page"/>
      </w:r>
    </w:p>
    <w:p>
      <w:pPr>
        <w:pStyle w:val="Heading1"/>
        <w:keepNext/>
      </w:pPr>
      <w:r>
        <w:t>What David Leads never assumes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C2737"/>
          <w:sz w:val="22"/>
        </w:rPr>
        <w:t>A public record is not consent or permission to contact.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C2737"/>
          <w:sz w:val="22"/>
        </w:rPr>
        <w:t>Observed activity is not revenue, intent, insurability, or a deal value.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C2737"/>
          <w:sz w:val="22"/>
        </w:rPr>
        <w:t>The system does not infer health, age, race, religion, family status, or private wealth.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C2737"/>
          <w:sz w:val="22"/>
        </w:rPr>
        <w:t>The system does not scrape social profiles or use named executives, insiders, signers, or donors as personal wealth leads.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C2737"/>
          <w:sz w:val="22"/>
        </w:rPr>
        <w:t>The public view never exposes broker notes, saved channels, clearance decisions, outcomes, or exports.</w:t>
      </w:r>
    </w:p>
    <w:p>
      <w:pPr>
        <w:pStyle w:val="Heading1"/>
        <w:keepNext/>
      </w:pPr>
      <w:r>
        <w:t>Department of Labor privacy boundary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C2737"/>
          <w:sz w:val="22"/>
        </w:rPr>
        <w:t>The life-plan lane keeps only the organization, public location, plan-period dates, participant count, reported carriers, and benefit categories needed for the research card.</w:t>
      </w:r>
    </w:p>
    <w:p>
      <w:pPr>
        <w:spacing w:before="80" w:after="200" w:line="288" w:lineRule="auto"/>
        <w:ind w:left="173" w:right="173"/>
        <w:shd w:fill="FFF7E5"/>
        <w:pBdr>
          <w:left w:val="single" w:sz="18" w:space="8" w:color="B78921"/>
        </w:pBdr>
      </w:pPr>
      <w:r>
        <w:rPr>
          <w:rFonts w:ascii="Calibri" w:hAnsi="Calibri"/>
          <w:b/>
          <w:i w:val="0"/>
          <w:color w:val="0B2545"/>
          <w:sz w:val="22"/>
        </w:rPr>
        <w:t xml:space="preserve">Excluded: </w:t>
      </w:r>
      <w:r>
        <w:rPr>
          <w:rFonts w:ascii="Calibri" w:hAnsi="Calibri"/>
          <w:b w:val="0"/>
          <w:i w:val="0"/>
          <w:color w:val="1C2737"/>
          <w:sz w:val="22"/>
        </w:rPr>
        <w:t>EINs, phone numbers, named administrators and signers, preparers, broker identities, commissions, and person-level addresses are not retained.</w:t>
      </w:r>
    </w:p>
    <w:p>
      <w:pPr>
        <w:pStyle w:val="Heading1"/>
        <w:keepNext/>
      </w:pPr>
      <w:r>
        <w:t>When a source is unavailable</w:t>
      </w:r>
    </w:p>
    <w:p>
      <w:pPr>
        <w:pStyle w:val="ListNumber"/>
        <w:spacing w:after="120" w:line="300" w:lineRule="auto"/>
        <w:ind w:left="540" w:hanging="271"/>
      </w:pPr>
      <w:r>
        <w:rPr>
          <w:rFonts w:ascii="Calibri" w:hAnsi="Calibri"/>
          <w:b/>
          <w:i w:val="0"/>
          <w:color w:val="0B2545"/>
          <w:sz w:val="22"/>
        </w:rPr>
        <w:t xml:space="preserve">Open Market coverage. </w:t>
      </w:r>
      <w:r>
        <w:rPr>
          <w:rFonts w:ascii="Calibri" w:hAnsi="Calibri"/>
          <w:b w:val="0"/>
          <w:i w:val="0"/>
          <w:color w:val="1C2737"/>
          <w:sz w:val="22"/>
        </w:rPr>
        <w:t>Each source reports LIVE, UNAVAILABLE, or NOT APPLICABLE.</w:t>
      </w:r>
    </w:p>
    <w:p>
      <w:pPr>
        <w:pStyle w:val="ListNumber"/>
        <w:spacing w:after="120" w:line="300" w:lineRule="auto"/>
        <w:ind w:left="540" w:hanging="271"/>
      </w:pPr>
      <w:r>
        <w:rPr>
          <w:rFonts w:ascii="Calibri" w:hAnsi="Calibri"/>
          <w:b/>
          <w:i w:val="0"/>
          <w:color w:val="0B2545"/>
          <w:sz w:val="22"/>
        </w:rPr>
        <w:t xml:space="preserve">Read the reason. </w:t>
      </w:r>
      <w:r>
        <w:rPr>
          <w:rFonts w:ascii="Calibri" w:hAnsi="Calibri"/>
          <w:b w:val="0"/>
          <w:i w:val="0"/>
          <w:color w:val="1C2737"/>
          <w:sz w:val="22"/>
        </w:rPr>
        <w:t>A missing credential, source outage, or territory mismatch remains visible.</w:t>
      </w:r>
    </w:p>
    <w:p>
      <w:pPr>
        <w:pStyle w:val="ListNumber"/>
        <w:spacing w:after="120" w:line="300" w:lineRule="auto"/>
        <w:ind w:left="540" w:hanging="271"/>
      </w:pPr>
      <w:r>
        <w:rPr>
          <w:rFonts w:ascii="Calibri" w:hAnsi="Calibri"/>
          <w:b/>
          <w:i w:val="0"/>
          <w:color w:val="0B2545"/>
          <w:sz w:val="22"/>
        </w:rPr>
        <w:t xml:space="preserve">Do not work around it. </w:t>
      </w:r>
      <w:r>
        <w:rPr>
          <w:rFonts w:ascii="Calibri" w:hAnsi="Calibri"/>
          <w:b w:val="0"/>
          <w:i w:val="0"/>
          <w:color w:val="1C2737"/>
          <w:sz w:val="22"/>
        </w:rPr>
        <w:t>The application never substitutes a fake lead for an unavailable source.</w:t>
      </w:r>
    </w:p>
    <w:p>
      <w:pPr>
        <w:pStyle w:val="Heading1"/>
        <w:keepNext/>
      </w:pPr>
      <w:r>
        <w:t>Best practice before every outreach decision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C2737"/>
          <w:sz w:val="22"/>
        </w:rPr>
        <w:t>Confirm the official record is current.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C2737"/>
          <w:sz w:val="22"/>
        </w:rPr>
        <w:t>Confirm the product and jurisdiction are within David’s approved scope.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C2737"/>
          <w:sz w:val="22"/>
        </w:rPr>
        <w:t>Use only a business-published channel from the organization’s own website.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C2737"/>
          <w:sz w:val="22"/>
        </w:rPr>
        <w:t>Complete all suppression, licensing, state-rule, and purpose checks.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C2737"/>
          <w:sz w:val="22"/>
        </w:rPr>
        <w:t>Record time-limited clearance in the protected workflow.</w:t>
      </w:r>
    </w:p>
    <w:p>
      <w:pPr>
        <w:spacing w:before="80" w:after="200" w:line="288" w:lineRule="auto"/>
        <w:ind w:left="173" w:right="173"/>
        <w:shd w:fill="E7F5F3"/>
        <w:pBdr>
          <w:left w:val="single" w:sz="18" w:space="8" w:color="148984"/>
        </w:pBdr>
      </w:pPr>
      <w:r>
        <w:rPr>
          <w:rFonts w:ascii="Calibri" w:hAnsi="Calibri"/>
          <w:b/>
          <w:i w:val="0"/>
          <w:color w:val="0B2545"/>
          <w:sz w:val="22"/>
        </w:rPr>
        <w:t xml:space="preserve">Remember: </w:t>
      </w:r>
      <w:r>
        <w:rPr>
          <w:rFonts w:ascii="Calibri" w:hAnsi="Calibri"/>
          <w:b w:val="0"/>
          <w:i w:val="0"/>
          <w:color w:val="1C2737"/>
          <w:sz w:val="22"/>
        </w:rPr>
        <w:t>The software helps David focus his research. David’s licensed judgment and the protected clearance process decide whether any next action is appropriate.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5C697A"/>
        <w:sz w:val="17"/>
      </w:rPr>
      <w:t xml:space="preserve">David Leads | Broker Guide   • 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148984"/>
        <w:sz w:val="17"/>
      </w:rPr>
      <w:t>DAVID LEADS</w:t>
    </w:r>
    <w:r>
      <w:rPr>
        <w:rFonts w:ascii="Calibri" w:hAnsi="Calibri"/>
        <w:b w:val="0"/>
        <w:i w:val="0"/>
        <w:color w:val="5C697A"/>
        <w:sz w:val="17"/>
      </w:rPr>
      <w:t xml:space="preserve">   |   Eastern Market Cockpit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C27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David Leads - Broker Guide</dc:title>
  <dc:subject>Plain-language operating guide for David Abraham</dc:subject>
  <dc:creator>SZL Holdings</dc:creator>
  <cp:keywords>David Leads, broker guide, public data, life insurance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