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A2540"/>
          <w:sz w:val="30"/>
          <w:szCs w:val="30"/>
        </w:rPr>
        <w:t xml:space="preserve">DAVID LEADS</w:t>
      </w:r>
      <w:r>
        <w:rPr>
          <w:rFonts w:ascii="Calibri" w:cs="Calibri" w:eastAsia="Calibri" w:hAnsi="Calibri"/>
          <w:b/>
          <w:bCs/>
          <w:color w:val="C08F2F"/>
          <w:sz w:val="18"/>
          <w:szCs w:val="18"/>
        </w:rPr>
        <w:t xml:space="preserve">   Sovereign Insurance Intelligence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9"/>
          <w:szCs w:val="19"/>
        </w:rPr>
        <w:t xml:space="preserve">A private, public-data lead-intelligence console — prepared for David Abraham, New York Life.</w:t>
      </w:r>
    </w:p>
    <w:p>
      <w:pPr>
        <w:spacing w:after="160" w:before="60"/>
      </w:pPr>
      <w:r>
        <w:rPr>
          <w:rFonts w:ascii="Calibri" w:cs="Calibri" w:eastAsia="Calibri" w:hAnsi="Calibri"/>
          <w:b/>
          <w:bCs/>
          <w:color w:val="0A2540"/>
          <w:sz w:val="40"/>
          <w:szCs w:val="40"/>
        </w:rPr>
        <w:t xml:space="preserve">Your private intelligence console</w:t>
      </w:r>
    </w:p>
    <w:p>
      <w:pPr>
        <w:spacing w:after="12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David — this is your own console for finding the people in your territory who just had a life event that creates a real insurance need.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Everything you see is computed live from public records, ranked by fit and readiness, and every claim is cryptographically verifiable.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Honest by design: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public, aggregate data only — never private personal information — and nothing is ever fabricated.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How to log in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9"/>
          <w:szCs w:val="19"/>
        </w:rPr>
        <w:t xml:space="preserve">Open the link below in any browser (Chrome, Safari, Edge — phone or laptop). It is a private, login-gated console, not a public website.</w:t>
      </w:r>
    </w:p>
    <w:tbl>
      <w:tblPr>
        <w:tblW w:type="pct" w:w="100%"/>
        <w:tblBorders>
          <w:top w:val="single" w:color="D4D1CA" w:sz="6"/>
          <w:left w:val="single" w:color="D4D1CA" w:sz="6"/>
          <w:bottom w:val="single" w:color="D4D1CA" w:sz="6"/>
          <w:right w:val="single" w:color="D4D1CA" w:sz="6"/>
          <w:insideH w:val="single" w:color="D4D1CA" w:sz="6"/>
          <w:insideV w:val="single" w:color="D4D1CA" w:sz="6"/>
        </w:tblBorders>
      </w:tblPr>
      <w:tblGrid>
        <w:gridCol w:w="3200"/>
        <w:gridCol w:w="6400"/>
      </w:tblGrid>
      <w:tr>
        <w:tc>
          <w:tcPr>
            <w:shd w:fill="EF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2540"/>
                <w:sz w:val="21"/>
                <w:szCs w:val="21"/>
              </w:rPr>
              <w:t xml:space="preserve">Web address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8251D"/>
                <w:sz w:val="21"/>
                <w:szCs w:val="21"/>
              </w:rPr>
              <w:t xml:space="preserve">https://szlholdings-david-leads.hf.space</w:t>
            </w:r>
          </w:p>
        </w:tc>
      </w:tr>
      <w:tr>
        <w:tc>
          <w:tcPr>
            <w:shd w:fill="EF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2540"/>
                <w:sz w:val="21"/>
                <w:szCs w:val="21"/>
              </w:rPr>
              <w:t xml:space="preserve">Username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8251D"/>
                <w:sz w:val="21"/>
                <w:szCs w:val="21"/>
              </w:rPr>
              <w:t xml:space="preserve">david</w:t>
            </w:r>
          </w:p>
        </w:tc>
      </w:tr>
      <w:tr>
        <w:tc>
          <w:tcPr>
            <w:shd w:fill="EF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2540"/>
                <w:sz w:val="21"/>
                <w:szCs w:val="21"/>
              </w:rPr>
              <w:t xml:space="preserve">Password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8251D"/>
                <w:sz w:val="21"/>
                <w:szCs w:val="21"/>
              </w:rPr>
              <w:t xml:space="preserve">David2026!</w:t>
            </w:r>
          </w:p>
        </w:tc>
      </w:tr>
      <w:tr>
        <w:tc>
          <w:tcPr>
            <w:shd w:fill="EF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2540"/>
                <w:sz w:val="21"/>
                <w:szCs w:val="21"/>
              </w:rPr>
              <w:t xml:space="preserve">Secure access key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8251D"/>
                <w:sz w:val="21"/>
                <w:szCs w:val="21"/>
              </w:rPr>
              <w:t xml:space="preserve">DAVID-2026-SECURE-DEMO</w:t>
            </w:r>
          </w:p>
        </w:tc>
      </w:tr>
    </w:tbl>
    <w:p>
      <w:pPr>
        <w:spacing w:after="120" w:before="120"/>
      </w:pPr>
      <w:hyperlink w:history="1" r:id="rIddeprpmedgym9dp4wkracg">
        <w:r>
          <w:rPr>
            <w:rFonts w:ascii="Calibri" w:cs="Calibri" w:eastAsia="Calibri" w:hAnsi="Calibri"/>
            <w:b/>
            <w:bCs/>
            <w:color w:val="168F89"/>
            <w:sz w:val="22"/>
            <w:szCs w:val="22"/>
            <w:u w:val="single"/>
          </w:rPr>
          <w:t xml:space="preserve">→ Open David Leads</w:t>
        </w:r>
      </w:hyperlink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8"/>
          <w:szCs w:val="18"/>
        </w:rPr>
        <w:t xml:space="preserve">Tip: the console may take ~20–30 seconds to wake up on the very first visit. Give it a moment, then log in.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A 7-step guided tour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1. Run intelligence.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Click "Run Live Public-Data Intelligence." It pulls live signals from SEC EDGAR, U.S. Census, BLS wages, CDC, and 13 East-Coast state open-data portals (business formations, licenses, deeds, permits).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2. See your territory.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Click "Territory Pulse" to see the 13-state Atlantic seaboard light up by activity. States with real live counts show the number; Massachusetts, New Hampshire, and Maine are shown honestly as data gaps — we never pretend to have data we don't.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3. Read the ranked leads.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Each lead shows a HOT / WARM / NURTURE badge, the matched New York Life product, an estimated annual premium (illustrative), an urgency chip (ACT NOW means within the 48-hour window that converts best), a wealth tier, a lapse-risk indicator, a receptivity score, and a likely coverage gap.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4. Expand a lead.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Click the ▸ on any lead to see Why this lead (the scoring factors), the Predictive Moments timeline (the public sources that surfaced them), the wealth ladder, a Liquidity Watch, and your Next Best Action with a ready-to-use talk track.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5. Open the Signed 4-Part Brief.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Click "Signed Brief" on your top lead. You get four parts — Priority, Why now, three ranked Opening lines, and Sensitivity — each backed by a math-engine verdict (not an AI guess). Then click "Verify signed brief."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6. Verify the receipt.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Click "Verify Receipt" on any lead. You'll see a VERIFIED panel with five checks proving the data is tamper-evident, public, and never fabricated. This is what you can show compliance.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7. Open the Black Box &amp; export.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"Open the Black Box" shows the transparent scoring methodology (with its published reference, DOI 10.5281/zenodo.20434308). "Export Call List" downloads your ranked leads as a spreadsheet. "Push to CRM" sends enriched, receipted leads into your CRM.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Real prospects you can act on today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9"/>
          <w:szCs w:val="19"/>
        </w:rPr>
        <w:t xml:space="preserve">Click "Real Prospects" in the toolbar. This pulls REAL, currently-filed public business and professional-license records live from state portals (Delaware &amp; Connecticut to start) — actual businesses with their public business address and a suggested New York Life angle (key-person, buy-sell, business-continuation, disability overhead, or starter life + DI for new licensees).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Each row is a real public record — real business name, category, public business address, and a link to the official source. Every row has a Verify button (signed receipt).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Compliant by design.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It uses public BUSINESS records only — no private personal phone numbers, no social media, nothing fabricated. You do your own compliant outreach (look up the business, no auto-dialing).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Growing.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This is the start: more states and record types are easy to add, plus an opt-in web form so prospects who want to hear from you come to you directly.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Tax-smart territories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9"/>
          <w:szCs w:val="19"/>
        </w:rPr>
        <w:t xml:space="preserve">Click "Tax Territories" in the toolbar. You asked whether taxes could help find leads — they can. This reads free public IRS tax statistics to point you at the right neighborhoods, never named individuals. Two views: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1. Affluent ZIPs.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Ranked ZIP codes where the most households file high-income returns ($200k+ adjusted gross income). Top of your list today is ZIP 10023 in Manhattan — about 11,500 high-income returns, roughly a third of all filers there. The suggested angle is estate planning, premium-financed life, and annuities. These are affluent-territory targets, drawn from IRS Statistics of Income by ZIP code.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2. Money-in-motion counties.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Counties seeing the biggest inflow of people and income from elsewhere — a relocation is a classic trigger for an estate and coverage review. Top today is New York County, with about $14.8 billion in adjusted gross income moving in (≈77,900 returns), drawn from IRS county-to-county migration data. The angle is a new-resident coverage review.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Compliant by design.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This uses aggregate IRS tax statistics for territory targeting only — it never names a person and never uses anyone's private tax data. It tells you where to focus, then you prospect compliantly in those areas.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Provable.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Every territory row links to the official IRS source and carries a signed receipt, same as your leads.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Let prospects come to you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9"/>
          <w:szCs w:val="19"/>
        </w:rPr>
        <w:t xml:space="preserve">Click "Opt-In Form" in the toolbar. This is the cleanest way to get a real name and a real phone number you can call — because the prospect gives it to you and asks to be contacted.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How it works.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Anyone interested fills in their name, phone, email, and a note, and checks a box consenting to be contacted. Their details are only saved if they check that box — no consent, nothing is stored.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Call-ready &amp; TCPA-safe.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Because the prospect opted in, you have express written consent on file — the compliant, TCPA-safe way to call or text. Every opt-in is stored with a signed receipt showing when and how consent was given.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Share it anywhere.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Share the form link in your email signature, on a flyer, or after a seminar. The leads land in your console under their own list, ready to call.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What makes this different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Provable.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Every lead and brief carries a verifiable, signed receipt — you can prove to compliance exactly where each claim came from.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Public-data only.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It only uses free, public, aggregate data. No private personal information, ever.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Transparent.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The scoring model is open and citable — no hidden black box.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Actionable.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It tells you not just who, but when to reach them and what to say.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A few honest notes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Premium and pipeline figures are illustrative estimates.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Wealth tiers are estimated from public records (property assessments, Census income, public-company insider status).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Lapse-risk is advisory only — it is not a credit or FCRA decision.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If a state or signal shows "sample" or "gap," that is the system being honest about what it could and couldn't pull live.</w:t>
      </w:r>
    </w:p>
    <w:p>
      <w:pPr>
        <w:pBdr>
          <w:top w:val="single" w:color="D4D1CA" w:sz="6" w:space="6"/>
        </w:pBdr>
        <w:spacing w:after="40" w:before="28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In one sentence: </w:t>
      </w:r>
      <w:r>
        <w:rPr>
          <w:rFonts w:ascii="Calibri" w:cs="Calibri" w:eastAsia="Calibri" w:hAnsi="Calibri"/>
          <w:i/>
          <w:iCs/>
          <w:color w:val="28251D"/>
          <w:sz w:val="21"/>
          <w:szCs w:val="21"/>
        </w:rPr>
        <w:t xml:space="preserve">this finds your best prospects the moment their need appears, tells you why and what to say, and lets you prove every word.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7"/>
          <w:szCs w:val="17"/>
        </w:rPr>
        <w:t xml:space="preserve">Prepared by SZL Holdings · public-data only · honest by design · © 2026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8251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eprpmedgym9dp4wkracg" Type="http://schemas.openxmlformats.org/officeDocument/2006/relationships/hyperlink" Target="https://szlholdings-david-leads.hf.space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2026-06-29T16:38:01.586Z</dcterms:created>
  <dcterms:modified xsi:type="dcterms:W3CDTF">2026-06-29T16:38:01.586Z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