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41414"/>
          <w:sz w:val="40"/>
        </w:rPr>
        <w:t>Email to Andrew Greene</w:t>
      </w:r>
    </w:p>
    <w:p>
      <w:pPr>
        <w:spacing w:after="40"/>
      </w:pPr>
      <w:r>
        <w:rPr>
          <w:b w:val="0"/>
          <w:color w:val="6E6E6E"/>
          <w:sz w:val="20"/>
        </w:rPr>
        <w:t>From: Lutar, Stephen P. · ORCID 0009-0001-0110-4173 · SZL Holdings</w:t>
      </w:r>
    </w:p>
    <w:p>
      <w:pPr>
        <w:spacing w:after="40"/>
      </w:pPr>
      <w:r>
        <w:rPr>
          <w:b w:val="0"/>
          <w:color w:val="6E6E6E"/>
          <w:sz w:val="20"/>
        </w:rPr>
        <w:t>To: Andrew Greene, co-founder, Defense Unicorns</w:t>
      </w:r>
    </w:p>
    <w:p>
      <w:pPr>
        <w:spacing w:after="40"/>
      </w:pPr>
      <w:r>
        <w:rPr>
          <w:b w:val="0"/>
          <w:color w:val="6E6E6E"/>
          <w:sz w:val="20"/>
        </w:rPr>
        <w:t>Date: Tuesday, 2026-05-19</w:t>
      </w:r>
    </w:p>
    <w:p>
      <w:pPr>
        <w:spacing w:after="280"/>
      </w:pPr>
      <w:r>
        <w:rPr>
          <w:b w:val="0"/>
          <w:color w:val="6E6E6E"/>
          <w:sz w:val="20"/>
        </w:rPr>
        <w:t>Subject: a11oy.UDS — vision deck, architecture, and the meshing write-up I promised</w:t>
      </w:r>
    </w:p>
    <w:p>
      <w:pPr>
        <w:spacing w:after="240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b w:val="0"/>
          <w:color w:val="282828"/>
          <w:sz w:val="22"/>
        </w:rPr>
        <w:t>Andrew —</w:t>
      </w:r>
    </w:p>
    <w:p>
      <w:pPr>
        <w:spacing w:after="200"/>
      </w:pPr>
      <w:r>
        <w:rPr>
          <w:b w:val="0"/>
          <w:color w:val="282828"/>
          <w:sz w:val="22"/>
        </w:rPr>
        <w:t>Thanks for the time on the call last week and for the room you gave me to think this through end-to-end before sending. As promised on Friday, this email carries the a11oy.UDS package: a short vision deck, the architecture document, and the "how I see it meshing in" write-up.</w:t>
      </w:r>
    </w:p>
    <w:p>
      <w:pPr>
        <w:spacing w:after="200"/>
      </w:pPr>
      <w:r>
        <w:rPr>
          <w:b w:val="0"/>
          <w:color w:val="282828"/>
          <w:sz w:val="22"/>
        </w:rPr>
        <w:t>The recommendation is up front so you can decide whether the rest is worth your afternoon: start with Option A as a 2–3 week proof point, with Option C as the real destination. Option B falls out along the way. That ladder is the same one we sketched on the call.</w:t>
      </w:r>
    </w:p>
    <w:p>
      <w:pPr>
        <w:spacing w:after="200"/>
      </w:pPr>
      <w:r>
        <w:rPr>
          <w:b w:val="0"/>
          <w:color w:val="282828"/>
          <w:sz w:val="22"/>
        </w:rPr>
        <w:t>a11oy.UDS is the name I'd like us to use going forward — single token, native to UDS, inheriting your guardrails, carrying a11oy's orchestration DNA on top. The package is built to move the needle on two problems we've both named:</w:t>
      </w:r>
    </w:p>
    <w:p>
      <w:pPr>
        <w:pStyle w:val="ListNumber"/>
      </w:pPr>
      <w:r>
        <w:rPr>
          <w:sz w:val="22"/>
        </w:rPr>
        <w:t>Trusted AI/agent orchestration inside air-gapped UDS environments — provenance, human-in-the-loop approval gates, immutable tool-call audit, and disconnected operation, meshed with the UDS policy engine and Keycloak.</w:t>
      </w:r>
    </w:p>
    <w:p>
      <w:pPr>
        <w:pStyle w:val="ListNumber"/>
      </w:pPr>
      <w:r>
        <w:rPr>
          <w:sz w:val="22"/>
        </w:rPr>
        <w:t>A UDS-native artifact spine for AI — SBOM-style attestation for models, prompts, embeddings, agent definitions, and evals; signed evals; drift detection; a promote / queue / discard flow that mirrors how Zarf already treats container images. The frontier-ingest + thesis-scoring layer inside a11oy is the working prototype.</w:t>
      </w:r>
    </w:p>
    <w:p>
      <w:pPr>
        <w:spacing w:after="240"/>
      </w:pPr>
      <w:r>
        <w:rPr>
          <w:b w:val="0"/>
          <w:color w:val="282828"/>
          <w:sz w:val="22"/>
        </w:rPr>
        <w:t>The first-round proposal (the §00–§07 package you already have) and the Zarf wiring landed last sprint — uds-cli #5026 (in-bundle attestation), pepr #5027 (Λ-floor admission), and the three Zarf packages + UDS bundle under docs/proposals/defense-unicorns/szl-holdings/ are merged. The wires are set up. This Tuesday package is what gets built on top of them.</w:t>
      </w:r>
    </w:p>
    <w:p>
      <w:pPr>
        <w:spacing w:after="80"/>
      </w:pPr>
      <w:r>
        <w:rPr>
          <w:b/>
          <w:color w:val="282828"/>
          <w:sz w:val="22"/>
        </w:rPr>
        <w:t>Attached (single zip — a11oy_uds_package.zip):</w:t>
      </w:r>
    </w:p>
    <w:p>
      <w:pPr>
        <w:pStyle w:val="ListBullet"/>
      </w:pPr>
      <w:r>
        <w:rPr>
          <w:sz w:val="22"/>
        </w:rPr>
        <w:t>01_vision_deck.md — the deck outline (~14 slides) and the rendered .pptx / .pdf deck</w:t>
      </w:r>
    </w:p>
    <w:p>
      <w:pPr>
        <w:pStyle w:val="ListBullet"/>
      </w:pPr>
      <w:r>
        <w:rPr>
          <w:sz w:val="22"/>
        </w:rPr>
        <w:t>02_a11oy_uds_architecture.md — the architecture document, per-component table, problem-to-component map</w:t>
      </w:r>
    </w:p>
    <w:p>
      <w:pPr>
        <w:pStyle w:val="ListBullet"/>
      </w:pPr>
      <w:r>
        <w:rPr>
          <w:sz w:val="22"/>
        </w:rPr>
        <w:t>03_meshing_writeup.md — the meshing write-up (~1500 words)</w:t>
      </w:r>
    </w:p>
    <w:p>
      <w:pPr>
        <w:pStyle w:val="ListBullet"/>
      </w:pPr>
      <w:r>
        <w:rPr>
          <w:sz w:val="22"/>
        </w:rPr>
        <w:t>04_problem_briefs.md — one page per problem</w:t>
      </w:r>
    </w:p>
    <w:p>
      <w:pPr>
        <w:pStyle w:val="ListBullet"/>
      </w:pPr>
      <w:r>
        <w:rPr>
          <w:sz w:val="22"/>
        </w:rPr>
        <w:t>05_proof_plan.md — the 2–3 week Option A plan with week-by-week milestones</w:t>
      </w:r>
    </w:p>
    <w:p>
      <w:pPr>
        <w:pStyle w:val="ListBullet"/>
      </w:pPr>
      <w:r>
        <w:rPr>
          <w:sz w:val="22"/>
        </w:rPr>
        <w:t>06_appendix_evidence.md — the "wires are set up" exhibit list</w:t>
      </w:r>
    </w:p>
    <w:p>
      <w:pPr>
        <w:pStyle w:val="ListBullet"/>
      </w:pPr>
      <w:r>
        <w:rPr>
          <w:sz w:val="22"/>
        </w:rPr>
        <w:t>a11oy_uds_vision_deck.pptx + .pdf — the rendered deck</w:t>
      </w:r>
    </w:p>
    <w:p>
      <w:pPr>
        <w:spacing w:after="240"/>
      </w:pPr>
      <w:r>
        <w:rPr>
          <w:b w:val="0"/>
          <w:color w:val="282828"/>
          <w:sz w:val="22"/>
        </w:rPr>
        <w:t>Live view of the deck + architecture, no auth required, links back to all the source files: /uds inside a11oy.</w:t>
      </w:r>
    </w:p>
    <w:p>
      <w:pPr>
        <w:spacing w:after="240"/>
      </w:pPr>
      <w:r>
        <w:rPr>
          <w:b w:val="0"/>
          <w:color w:val="282828"/>
          <w:sz w:val="22"/>
        </w:rPr>
        <w:t>If A is welcome, I can have the proof-point payload demo-ready by Week 3 against any Mission App you point me at. If the answer is "not yet" or "a different shape," I'd still value a 30-minute working session to recalibrate.</w:t>
      </w:r>
    </w:p>
    <w:p>
      <w:pPr>
        <w:spacing w:after="40"/>
      </w:pPr>
      <w:r>
        <w:rPr>
          <w:b w:val="0"/>
          <w:color w:val="282828"/>
          <w:sz w:val="22"/>
        </w:rPr>
        <w:t>Talk soon,</w:t>
      </w:r>
    </w:p>
    <w:p>
      <w:pPr>
        <w:spacing w:after="200"/>
      </w:pPr>
      <w:r>
        <w:rPr>
          <w:b w:val="0"/>
          <w:color w:val="282828"/>
          <w:sz w:val="22"/>
        </w:rPr>
        <w:t>Stephen</w:t>
      </w:r>
    </w:p>
    <w:p>
      <w:pPr>
        <w:spacing w:after="160"/>
      </w:pPr>
      <w:r>
        <w:rPr>
          <w:b w:val="0"/>
          <w:color w:val="6E6E6E"/>
          <w:sz w:val="20"/>
        </w:rPr>
        <w:t>— Lutar, Stephen P. · ORCID 0009-0001-0110-4173 · SZL Holdings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