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1E3C"/>
          <w:sz w:val="28"/>
          <w:szCs w:val="28"/>
        </w:rPr>
        <w:t xml:space="preserve">SZL HOLDINGS · SERIES A · UNICORN-DEFENSE STACK</w:t>
      </w:r>
    </w:p>
    <w:p>
      <w:pPr>
        <w:spacing w:after="240"/>
        <w:jc w:val="center"/>
      </w:pPr>
      <w:r>
        <w:rPr>
          <w:i/>
          <w:iCs/>
          <w:color w:val="555555"/>
          <w:sz w:val="20"/>
          <w:szCs w:val="20"/>
        </w:rPr>
        <w:t xml:space="preserve">Private brief for Andrew — every claim traces to a file in the repository</w:t>
      </w:r>
    </w:p>
    <w:p>
      <w:pPr>
        <w:pStyle w:val="Heading2"/>
        <w:spacing w:after="100" w:before="200"/>
      </w:pPr>
      <w:r>
        <w:rPr>
          <w:b/>
          <w:bCs/>
          <w:sz w:val="28"/>
          <w:szCs w:val="28"/>
        </w:rPr>
        <w:t xml:space="preserve">To: Andrew</w:t>
      </w:r>
    </w:p>
    <w:p>
      <w:pPr>
        <w:pStyle w:val="Heading2"/>
        <w:spacing w:after="100" w:before="200"/>
      </w:pPr>
      <w:r>
        <w:rPr>
          <w:b/>
          <w:bCs/>
          <w:sz w:val="28"/>
          <w:szCs w:val="28"/>
        </w:rPr>
        <w:t xml:space="preserve">From: SZL Holdings</w:t>
      </w:r>
    </w:p>
    <w:p>
      <w:pPr>
        <w:pStyle w:val="Heading2"/>
        <w:spacing w:after="100" w:before="200"/>
      </w:pPr>
      <w:r>
        <w:rPr>
          <w:b/>
          <w:bCs/>
          <w:sz w:val="28"/>
          <w:szCs w:val="28"/>
        </w:rPr>
        <w:t xml:space="preserve">Subject: Series-A readiness — what's shipping, what's signed, and how we should handle the GitHub repo</w:t>
      </w:r>
    </w:p>
    <w:p>
      <w:r>
        <w:rPr>
          <w:color w:val="888888"/>
          <w:sz w:val="18"/>
          <w:szCs w:val="18"/>
        </w:rPr>
        <w:t xml:space="preserve">────────────────────────────────────────</w:t>
      </w:r>
    </w:p>
    <w:p>
      <w:pPr>
        <w:pStyle w:val="Heading1"/>
        <w:spacing w:after="120" w:before="240"/>
      </w:pPr>
      <w:r>
        <w:rPr>
          <w:b/>
          <w:bCs/>
          <w:sz w:val="36"/>
          <w:szCs w:val="36"/>
        </w:rPr>
        <w:t xml:space="preserve">1 · One-paragraph summary</w:t>
      </w:r>
    </w:p>
    <w:p>
      <w:pPr>
        <w:spacing w:after="100"/>
      </w:pPr>
      <w:r>
        <w:rPr>
          <w:sz w:val="22"/>
          <w:szCs w:val="22"/>
        </w:rPr>
        <w:t xml:space="preserve">The unicorn-defense stack is operational. Three UDS bundles (a11oy, amaru, sentra) are at v0.1.1 with cosign-signed tarballs, sha256 sums recorded, and Rekor transparency-log entries. Seven product artifacts are running in the workspace. Doctrine v6 enforcement passes across 10,232 scanned files with zero forbidden tokens. The Lean proof layer's default build is green (LeanDoctrineCore). The full mathlib-backed layer (LeanDoctrineFull) has its source cloned and is being warmed locally. We need your call on the GitHub repo's visibility before the next round of reviewer invites — my recommendation is detailed in §7.</w:t>
      </w:r>
    </w:p>
    <w:p>
      <w:pPr>
        <w:pStyle w:val="Heading1"/>
        <w:spacing w:after="120" w:before="240"/>
      </w:pPr>
      <w:r>
        <w:rPr>
          <w:b/>
          <w:bCs/>
          <w:sz w:val="36"/>
          <w:szCs w:val="36"/>
        </w:rPr>
        <w:t xml:space="preserve">2 · The seven artifacts (what each is, where it lives)</w:t>
      </w:r>
    </w:p>
    <w:p>
      <w:pPr>
        <w:pStyle w:val="Heading3"/>
        <w:spacing w:after="80" w:before="160"/>
      </w:pPr>
      <w:r>
        <w:rPr>
          <w:b/>
          <w:bCs/>
          <w:sz w:val="24"/>
          <w:szCs w:val="24"/>
        </w:rPr>
        <w:t xml:space="preserve">artifacts/a11oy (web)</w:t>
      </w:r>
    </w:p>
    <w:p>
      <w:pPr>
        <w:spacing w:after="100"/>
      </w:pPr>
      <w:r>
        <w:rPr>
          <w:sz w:val="22"/>
          <w:szCs w:val="22"/>
        </w:rPr>
        <w:t xml:space="preserve">Brand Orchestration Layer — runtime UI over the @a11oy/core / @a11oy/connection runtime. Routes hit POVM verdicts and contextuality checks.</w:t>
      </w:r>
    </w:p>
    <w:p>
      <w:pPr>
        <w:spacing w:after="100"/>
      </w:pPr>
      <w:r>
        <w:rPr>
          <w:rFonts w:ascii="Consolas" w:cs="Consolas" w:eastAsia="Consolas" w:hAnsi="Consolas"/>
          <w:sz w:val="20"/>
          <w:szCs w:val="20"/>
        </w:rPr>
        <w:t xml:space="preserve">./artifacts/a11oy/</w:t>
      </w:r>
    </w:p>
    <w:p>
      <w:pPr>
        <w:pStyle w:val="Heading3"/>
        <w:spacing w:after="80" w:before="160"/>
      </w:pPr>
      <w:r>
        <w:rPr>
          <w:b/>
          <w:bCs/>
          <w:sz w:val="24"/>
          <w:szCs w:val="24"/>
        </w:rPr>
        <w:t xml:space="preserve">artifacts/sentra (web)</w:t>
      </w:r>
    </w:p>
    <w:p>
      <w:pPr>
        <w:spacing w:after="100"/>
      </w:pPr>
      <w:r>
        <w:rPr>
          <w:sz w:val="22"/>
          <w:szCs w:val="22"/>
        </w:rPr>
        <w:t xml:space="preserve">Cyber Resilience Command — dossier-typed incident triage with halt-authority. Every action carries a governance receipt.</w:t>
      </w:r>
    </w:p>
    <w:p>
      <w:pPr>
        <w:spacing w:after="100"/>
      </w:pPr>
      <w:r>
        <w:rPr>
          <w:rFonts w:ascii="Consolas" w:cs="Consolas" w:eastAsia="Consolas" w:hAnsi="Consolas"/>
          <w:sz w:val="20"/>
          <w:szCs w:val="20"/>
        </w:rPr>
        <w:t xml:space="preserve">./artifacts/sentra/</w:t>
      </w:r>
    </w:p>
    <w:p>
      <w:pPr>
        <w:pStyle w:val="Heading3"/>
        <w:spacing w:after="80" w:before="160"/>
      </w:pPr>
      <w:r>
        <w:rPr>
          <w:b/>
          <w:bCs/>
          <w:sz w:val="24"/>
          <w:szCs w:val="24"/>
        </w:rPr>
        <w:t xml:space="preserve">artifacts/vessels (web)</w:t>
      </w:r>
    </w:p>
    <w:p>
      <w:pPr>
        <w:spacing w:after="100"/>
      </w:pPr>
      <w:r>
        <w:rPr>
          <w:sz w:val="22"/>
          <w:szCs w:val="22"/>
        </w:rPr>
        <w:t xml:space="preserve">Maritime Intelligence — ais-style vessel + voyage view; the surface for the Dorian LPG pitch.</w:t>
      </w:r>
    </w:p>
    <w:p>
      <w:pPr>
        <w:spacing w:after="100"/>
      </w:pPr>
      <w:r>
        <w:rPr>
          <w:rFonts w:ascii="Consolas" w:cs="Consolas" w:eastAsia="Consolas" w:hAnsi="Consolas"/>
          <w:sz w:val="20"/>
          <w:szCs w:val="20"/>
        </w:rPr>
        <w:t xml:space="preserve">./artifacts/vessels/</w:t>
      </w:r>
    </w:p>
    <w:p>
      <w:pPr>
        <w:pStyle w:val="Heading3"/>
        <w:spacing w:after="80" w:before="160"/>
      </w:pPr>
      <w:r>
        <w:rPr>
          <w:b/>
          <w:bCs/>
          <w:sz w:val="24"/>
          <w:szCs w:val="24"/>
        </w:rPr>
        <w:t xml:space="preserve">artifacts/vessels-pitch (slides)</w:t>
      </w:r>
    </w:p>
    <w:p>
      <w:pPr>
        <w:spacing w:after="100"/>
      </w:pPr>
      <w:r>
        <w:rPr>
          <w:sz w:val="22"/>
          <w:szCs w:val="22"/>
        </w:rPr>
        <w:t xml:space="preserve">Dorian LPG investor deck artifact (slides kind) — same data spine as `vessels`, narrative wrapper.</w:t>
      </w:r>
    </w:p>
    <w:p>
      <w:pPr>
        <w:spacing w:after="100"/>
      </w:pPr>
      <w:r>
        <w:rPr>
          <w:rFonts w:ascii="Consolas" w:cs="Consolas" w:eastAsia="Consolas" w:hAnsi="Consolas"/>
          <w:sz w:val="20"/>
          <w:szCs w:val="20"/>
        </w:rPr>
        <w:t xml:space="preserve">./artifacts/vessels-pitch/</w:t>
      </w:r>
    </w:p>
    <w:p>
      <w:pPr>
        <w:pStyle w:val="Heading3"/>
        <w:spacing w:after="80" w:before="160"/>
      </w:pPr>
      <w:r>
        <w:rPr>
          <w:b/>
          <w:bCs/>
          <w:sz w:val="24"/>
          <w:szCs w:val="24"/>
        </w:rPr>
        <w:t xml:space="preserve">artifacts/rosie (web)</w:t>
      </w:r>
    </w:p>
    <w:p>
      <w:pPr>
        <w:spacing w:after="100"/>
      </w:pPr>
      <w:r>
        <w:rPr>
          <w:sz w:val="22"/>
          <w:szCs w:val="22"/>
        </w:rPr>
        <w:t xml:space="preserve">Governed Decision Fabric — the front office for routing decisions through the doctrine layer (KS-18, HUKLLA, OVERWATCH).</w:t>
      </w:r>
    </w:p>
    <w:p>
      <w:pPr>
        <w:spacing w:after="100"/>
      </w:pPr>
      <w:r>
        <w:rPr>
          <w:rFonts w:ascii="Consolas" w:cs="Consolas" w:eastAsia="Consolas" w:hAnsi="Consolas"/>
          <w:sz w:val="20"/>
          <w:szCs w:val="20"/>
        </w:rPr>
        <w:t xml:space="preserve">./artifacts/rosie/</w:t>
      </w:r>
    </w:p>
    <w:p>
      <w:pPr>
        <w:pStyle w:val="Heading3"/>
        <w:spacing w:after="80" w:before="160"/>
      </w:pPr>
      <w:r>
        <w:rPr>
          <w:b/>
          <w:bCs/>
          <w:sz w:val="24"/>
          <w:szCs w:val="24"/>
        </w:rPr>
        <w:t xml:space="preserve">artifacts/rosie-mobile (mobile)</w:t>
      </w:r>
    </w:p>
    <w:p>
      <w:pPr>
        <w:spacing w:after="100"/>
      </w:pPr>
      <w:r>
        <w:rPr>
          <w:sz w:val="22"/>
          <w:szCs w:val="22"/>
        </w:rPr>
        <w:t xml:space="preserve">ROSIE Mobile Command — Expo build of the same decision fabric for field operators.</w:t>
      </w:r>
    </w:p>
    <w:p>
      <w:pPr>
        <w:spacing w:after="100"/>
      </w:pPr>
      <w:r>
        <w:rPr>
          <w:rFonts w:ascii="Consolas" w:cs="Consolas" w:eastAsia="Consolas" w:hAnsi="Consolas"/>
          <w:sz w:val="20"/>
          <w:szCs w:val="20"/>
        </w:rPr>
        <w:t xml:space="preserve">./artifacts/rosie-mobile/</w:t>
      </w:r>
    </w:p>
    <w:p>
      <w:pPr>
        <w:pStyle w:val="Heading3"/>
        <w:spacing w:after="80" w:before="160"/>
      </w:pPr>
      <w:r>
        <w:rPr>
          <w:b/>
          <w:bCs/>
          <w:sz w:val="24"/>
          <w:szCs w:val="24"/>
        </w:rPr>
        <w:t xml:space="preserve">artifacts/conduit (web)</w:t>
      </w:r>
    </w:p>
    <w:p>
      <w:pPr>
        <w:spacing w:after="100"/>
      </w:pPr>
      <w:r>
        <w:rPr>
          <w:sz w:val="22"/>
          <w:szCs w:val="22"/>
        </w:rPr>
        <w:t xml:space="preserve">Amaru — The Andean Ouroboros — public-facing organ for the Amaru sync kernel; user-visible expression of the Λ-floor halt-authority.</w:t>
      </w:r>
    </w:p>
    <w:p>
      <w:pPr>
        <w:spacing w:after="100"/>
      </w:pPr>
      <w:r>
        <w:rPr>
          <w:rFonts w:ascii="Consolas" w:cs="Consolas" w:eastAsia="Consolas" w:hAnsi="Consolas"/>
          <w:sz w:val="20"/>
          <w:szCs w:val="20"/>
        </w:rPr>
        <w:t xml:space="preserve">./artifacts/conduit/</w:t>
      </w:r>
    </w:p>
    <w:p>
      <w:pPr>
        <w:pStyle w:val="Heading3"/>
        <w:spacing w:after="80" w:before="160"/>
      </w:pPr>
      <w:r>
        <w:rPr>
          <w:b/>
          <w:bCs/>
          <w:sz w:val="24"/>
          <w:szCs w:val="24"/>
        </w:rPr>
        <w:t xml:space="preserve">artifacts/api-server (web)</w:t>
      </w:r>
    </w:p>
    <w:p>
      <w:pPr>
        <w:spacing w:after="100"/>
      </w:pPr>
      <w:r>
        <w:rPr>
          <w:sz w:val="22"/>
          <w:szCs w:val="22"/>
        </w:rPr>
        <w:t xml:space="preserve">Shared API server (Node) + amaru FastAPI service. Hosts the dossier types, the dev-mode cosign signer, and the OVERWATCH watcher.</w:t>
      </w:r>
    </w:p>
    <w:p>
      <w:pPr>
        <w:spacing w:after="100"/>
      </w:pPr>
      <w:r>
        <w:rPr>
          <w:rFonts w:ascii="Consolas" w:cs="Consolas" w:eastAsia="Consolas" w:hAnsi="Consolas"/>
          <w:sz w:val="20"/>
          <w:szCs w:val="20"/>
        </w:rPr>
        <w:t xml:space="preserve">./artifacts/api-server/</w:t>
      </w:r>
    </w:p>
    <w:p>
      <w:pPr>
        <w:pStyle w:val="Heading1"/>
        <w:spacing w:after="120" w:before="240"/>
      </w:pPr>
      <w:r>
        <w:rPr>
          <w:b/>
          <w:bCs/>
          <w:sz w:val="36"/>
          <w:szCs w:val="36"/>
        </w:rPr>
        <w:t xml:space="preserve">3 · The three UDS bundles (signed, hashed, logged)</w:t>
      </w:r>
    </w:p>
    <w:p>
      <w:pPr>
        <w:pStyle w:val="Heading3"/>
        <w:spacing w:after="80" w:before="160"/>
      </w:pPr>
      <w:r>
        <w:rPr>
          <w:b/>
          <w:bCs/>
          <w:sz w:val="24"/>
          <w:szCs w:val="24"/>
        </w:rPr>
        <w:t xml:space="preserve">a11oy @ v0.1.1</w:t>
      </w:r>
    </w:p>
    <w:p>
      <w:pPr>
        <w:spacing w:after="100"/>
      </w:pPr>
      <w:r>
        <w:rPr>
          <w:sz w:val="22"/>
          <w:szCs w:val="22"/>
        </w:rPr>
        <w:t xml:space="preserve">Brand orchestration runtime: tetrad field, Fisher–Rao manifold, Bohr complementarity floor σ_A·σ_B ≥ 0.25, Kochen–Specker 18-vector contextuality witness, POVM verdict semantics.</w:t>
      </w:r>
    </w:p>
    <w:p>
      <w:pPr>
        <w:spacing w:after="100"/>
      </w:pPr>
      <w:r>
        <w:rPr>
          <w:rFonts w:ascii="Consolas" w:cs="Consolas" w:eastAsia="Consolas" w:hAnsi="Consolas"/>
          <w:sz w:val="20"/>
          <w:szCs w:val="20"/>
        </w:rPr>
        <w:t xml:space="preserve">tarball : dist/a11oy-uds/a11oy-uds-0.1.1.tar.zst</w:t>
      </w:r>
    </w:p>
    <w:p>
      <w:pPr>
        <w:spacing w:after="100"/>
      </w:pPr>
      <w:r>
        <w:rPr>
          <w:rFonts w:ascii="Consolas" w:cs="Consolas" w:eastAsia="Consolas" w:hAnsi="Consolas"/>
          <w:sz w:val="20"/>
          <w:szCs w:val="20"/>
        </w:rPr>
        <w:t xml:space="preserve">sha256  : bf735715c8dadccea6daf8641e357fac2b20f0e368494534ce1b4f5c8b5a82d5</w:t>
      </w:r>
    </w:p>
    <w:p>
      <w:pPr>
        <w:spacing w:after="100"/>
      </w:pPr>
      <w:r>
        <w:rPr>
          <w:rFonts w:ascii="Consolas" w:cs="Consolas" w:eastAsia="Consolas" w:hAnsi="Consolas"/>
          <w:sz w:val="20"/>
          <w:szCs w:val="20"/>
        </w:rPr>
        <w:t xml:space="preserve">sig     : dist/a11oy-uds/a11oy-uds-0.1.1.tar.zst.sig</w:t>
      </w:r>
    </w:p>
    <w:p>
      <w:pPr>
        <w:spacing w:after="100"/>
      </w:pPr>
      <w:r>
        <w:rPr>
          <w:rFonts w:ascii="Consolas" w:cs="Consolas" w:eastAsia="Consolas" w:hAnsi="Consolas"/>
          <w:sz w:val="20"/>
          <w:szCs w:val="20"/>
        </w:rPr>
        <w:t xml:space="preserve">pubkey  : dist/a11oy-uds/a11oy-uds-dev.pub</w:t>
      </w:r>
    </w:p>
    <w:p>
      <w:pPr>
        <w:spacing w:after="100"/>
      </w:pPr>
      <w:r>
        <w:rPr>
          <w:rFonts w:ascii="Consolas" w:cs="Consolas" w:eastAsia="Consolas" w:hAnsi="Consolas"/>
          <w:sz w:val="20"/>
          <w:szCs w:val="20"/>
        </w:rPr>
        <w:t xml:space="preserve">rekor   : 1631673539</w:t>
      </w:r>
    </w:p>
    <w:p>
      <w:pPr>
        <w:spacing w:after="100"/>
      </w:pPr>
      <w:r>
        <w:rPr>
          <w:sz w:val="22"/>
          <w:szCs w:val="22"/>
        </w:rPr>
        <w:t xml:space="preserve">Six provenance docs ship inside each dist/&lt;name&gt;-uds/ directory: ARCHITECTURE.md, AUDIT-LOG.md, OPERATOR-QUICKSTART.md, SECURITY.md, UDS-BUNDLE.md, uds-bundle.yaml.</w:t>
      </w:r>
    </w:p>
    <w:p>
      <w:pPr>
        <w:pStyle w:val="Heading3"/>
        <w:spacing w:after="80" w:before="160"/>
      </w:pPr>
      <w:r>
        <w:rPr>
          <w:b/>
          <w:bCs/>
          <w:sz w:val="24"/>
          <w:szCs w:val="24"/>
        </w:rPr>
        <w:t xml:space="preserve">amaru @ v0.1.1</w:t>
      </w:r>
    </w:p>
    <w:p>
      <w:pPr>
        <w:spacing w:after="100"/>
      </w:pPr>
      <w:r>
        <w:rPr>
          <w:sz w:val="22"/>
          <w:szCs w:val="22"/>
        </w:rPr>
        <w:t xml:space="preserve">Andean Ouroboros sync kernel: Lutar Σ canonical composition, Λ-floor HUKLLA halt-eligibility, asymmetric KL drift, Bekenstein admission gate, bounded-loop convergence, 9-axis AND gate, hash-chained receipts.</w:t>
      </w:r>
    </w:p>
    <w:p>
      <w:pPr>
        <w:spacing w:after="100"/>
      </w:pPr>
      <w:r>
        <w:rPr>
          <w:rFonts w:ascii="Consolas" w:cs="Consolas" w:eastAsia="Consolas" w:hAnsi="Consolas"/>
          <w:sz w:val="20"/>
          <w:szCs w:val="20"/>
        </w:rPr>
        <w:t xml:space="preserve">tarball : dist/amaru-uds/amaru-uds-0.1.1.tar.zst</w:t>
      </w:r>
    </w:p>
    <w:p>
      <w:pPr>
        <w:spacing w:after="100"/>
      </w:pPr>
      <w:r>
        <w:rPr>
          <w:rFonts w:ascii="Consolas" w:cs="Consolas" w:eastAsia="Consolas" w:hAnsi="Consolas"/>
          <w:sz w:val="20"/>
          <w:szCs w:val="20"/>
        </w:rPr>
        <w:t xml:space="preserve">sha256  : 9dc5f7d88d080771fd8702012f305845d89c02403ff4adbdacd963450121a4f7</w:t>
      </w:r>
    </w:p>
    <w:p>
      <w:pPr>
        <w:spacing w:after="100"/>
      </w:pPr>
      <w:r>
        <w:rPr>
          <w:rFonts w:ascii="Consolas" w:cs="Consolas" w:eastAsia="Consolas" w:hAnsi="Consolas"/>
          <w:sz w:val="20"/>
          <w:szCs w:val="20"/>
        </w:rPr>
        <w:t xml:space="preserve">sig     : dist/amaru-uds/amaru-uds-0.1.1.tar.zst.sig</w:t>
      </w:r>
    </w:p>
    <w:p>
      <w:pPr>
        <w:spacing w:after="100"/>
      </w:pPr>
      <w:r>
        <w:rPr>
          <w:rFonts w:ascii="Consolas" w:cs="Consolas" w:eastAsia="Consolas" w:hAnsi="Consolas"/>
          <w:sz w:val="20"/>
          <w:szCs w:val="20"/>
        </w:rPr>
        <w:t xml:space="preserve">pubkey  : dist/amaru-uds/amaru-uds-dev.pub</w:t>
      </w:r>
    </w:p>
    <w:p>
      <w:pPr>
        <w:spacing w:after="100"/>
      </w:pPr>
      <w:r>
        <w:rPr>
          <w:rFonts w:ascii="Consolas" w:cs="Consolas" w:eastAsia="Consolas" w:hAnsi="Consolas"/>
          <w:sz w:val="20"/>
          <w:szCs w:val="20"/>
        </w:rPr>
        <w:t xml:space="preserve">rekor   : 1631861751</w:t>
      </w:r>
    </w:p>
    <w:p>
      <w:pPr>
        <w:spacing w:after="100"/>
      </w:pPr>
      <w:r>
        <w:rPr>
          <w:sz w:val="22"/>
          <w:szCs w:val="22"/>
        </w:rPr>
        <w:t xml:space="preserve">Six provenance docs ship inside each dist/&lt;name&gt;-uds/ directory: ARCHITECTURE.md, AUDIT-LOG.md, OPERATOR-QUICKSTART.md, SECURITY.md, UDS-BUNDLE.md, uds-bundle.yaml.</w:t>
      </w:r>
    </w:p>
    <w:p>
      <w:pPr>
        <w:pStyle w:val="Heading3"/>
        <w:spacing w:after="80" w:before="160"/>
      </w:pPr>
      <w:r>
        <w:rPr>
          <w:b/>
          <w:bCs/>
          <w:sz w:val="24"/>
          <w:szCs w:val="24"/>
        </w:rPr>
        <w:t xml:space="preserve">sentra @ v0.1.1</w:t>
      </w:r>
    </w:p>
    <w:p>
      <w:pPr>
        <w:spacing w:after="100"/>
      </w:pPr>
      <w:r>
        <w:rPr>
          <w:sz w:val="22"/>
          <w:szCs w:val="22"/>
        </w:rPr>
        <w:t xml:space="preserve">Cyber resilience command surface: dossier-typed evidence, governed triage actions, KS-18 witness against contextuality attacks, R0513 OVERWATCH read-only watcher, HUKLLA halt-authority on policy violation.</w:t>
      </w:r>
    </w:p>
    <w:p>
      <w:pPr>
        <w:spacing w:after="100"/>
      </w:pPr>
      <w:r>
        <w:rPr>
          <w:rFonts w:ascii="Consolas" w:cs="Consolas" w:eastAsia="Consolas" w:hAnsi="Consolas"/>
          <w:sz w:val="20"/>
          <w:szCs w:val="20"/>
        </w:rPr>
        <w:t xml:space="preserve">tarball : dist/sentra-uds/sentra-uds-0.1.1.tar.zst</w:t>
      </w:r>
    </w:p>
    <w:p>
      <w:pPr>
        <w:spacing w:after="100"/>
      </w:pPr>
      <w:r>
        <w:rPr>
          <w:rFonts w:ascii="Consolas" w:cs="Consolas" w:eastAsia="Consolas" w:hAnsi="Consolas"/>
          <w:sz w:val="20"/>
          <w:szCs w:val="20"/>
        </w:rPr>
        <w:t xml:space="preserve">sha256  : bc23ca8e65f02fab4a810e40e604c803f8115329d0010d613b0635ce4c2c9e82</w:t>
      </w:r>
    </w:p>
    <w:p>
      <w:pPr>
        <w:spacing w:after="100"/>
      </w:pPr>
      <w:r>
        <w:rPr>
          <w:rFonts w:ascii="Consolas" w:cs="Consolas" w:eastAsia="Consolas" w:hAnsi="Consolas"/>
          <w:sz w:val="20"/>
          <w:szCs w:val="20"/>
        </w:rPr>
        <w:t xml:space="preserve">sig     : dist/sentra-uds/sentra-uds-0.1.1.tar.zst.sig</w:t>
      </w:r>
    </w:p>
    <w:p>
      <w:pPr>
        <w:spacing w:after="100"/>
      </w:pPr>
      <w:r>
        <w:rPr>
          <w:rFonts w:ascii="Consolas" w:cs="Consolas" w:eastAsia="Consolas" w:hAnsi="Consolas"/>
          <w:sz w:val="20"/>
          <w:szCs w:val="20"/>
        </w:rPr>
        <w:t xml:space="preserve">pubkey  : dist/sentra-uds/sentra-uds-dev.pub</w:t>
      </w:r>
    </w:p>
    <w:p>
      <w:pPr>
        <w:spacing w:after="100"/>
      </w:pPr>
      <w:r>
        <w:rPr>
          <w:rFonts w:ascii="Consolas" w:cs="Consolas" w:eastAsia="Consolas" w:hAnsi="Consolas"/>
          <w:sz w:val="20"/>
          <w:szCs w:val="20"/>
        </w:rPr>
        <w:t xml:space="preserve">rekor   : recorded in cosign sign-blob stdout</w:t>
      </w:r>
    </w:p>
    <w:p>
      <w:pPr>
        <w:spacing w:after="100"/>
      </w:pPr>
      <w:r>
        <w:rPr>
          <w:sz w:val="22"/>
          <w:szCs w:val="22"/>
        </w:rPr>
        <w:t xml:space="preserve">Six provenance docs ship inside each dist/&lt;name&gt;-uds/ directory: ARCHITECTURE.md, AUDIT-LOG.md, OPERATOR-QUICKSTART.md, SECURITY.md, UDS-BUNDLE.md, uds-bundle.yaml.</w:t>
      </w:r>
    </w:p>
    <w:p>
      <w:pPr>
        <w:pStyle w:val="Heading1"/>
        <w:spacing w:after="120" w:before="240"/>
      </w:pPr>
      <w:r>
        <w:rPr>
          <w:b/>
          <w:bCs/>
          <w:sz w:val="36"/>
          <w:szCs w:val="36"/>
        </w:rPr>
        <w:t xml:space="preserve">4 · The Lean proof layer</w:t>
      </w:r>
    </w:p>
    <w:p>
      <w:pPr>
        <w:pStyle w:val="Heading3"/>
        <w:spacing w:after="80" w:before="160"/>
      </w:pPr>
      <w:r>
        <w:rPr>
          <w:b/>
          <w:bCs/>
          <w:sz w:val="24"/>
          <w:szCs w:val="24"/>
        </w:rPr>
        <w:t xml:space="preserve">LeanDoctrineCore</w:t>
      </w:r>
    </w:p>
    <w:p>
      <w:pPr>
        <w:spacing w:after="100"/>
      </w:pPr>
      <w:r>
        <w:rPr>
          <w:sz w:val="22"/>
          <w:szCs w:val="22"/>
        </w:rPr>
        <w:t xml:space="preserve">Pure-Lean (no mathlib). Builds offline. Encodes the doctrine v6 invariants as types: KS-18 contextuality witness, HUKLLA halt eligibility, OVERWATCH read-only constraint, Bekenstein admission inequality, monotone bounded-loop convergence.</w:t>
      </w:r>
    </w:p>
    <w:p>
      <w:pPr>
        <w:pStyle w:val="Heading3"/>
        <w:spacing w:after="80" w:before="160"/>
      </w:pPr>
      <w:r>
        <w:rPr>
          <w:b/>
          <w:bCs/>
          <w:sz w:val="24"/>
          <w:szCs w:val="24"/>
        </w:rPr>
        <w:t xml:space="preserve">LeanDoctrineFull</w:t>
      </w:r>
    </w:p>
    <w:p>
      <w:pPr>
        <w:spacing w:after="100"/>
      </w:pPr>
      <w:r>
        <w:rPr>
          <w:sz w:val="22"/>
          <w:szCs w:val="22"/>
        </w:rPr>
        <w:t xml:space="preserve">Opt-in `-Kmathlib=on`. Pulls mathlib v4.12.0 for the Fisher–Rao information geometry, Bohr complementarity σ_A·σ_B ≥ 0.25 proof, and Lutar Σ canonical composition. Currently green on default `lake build`; mathlib warm tracked in packages/lean-formulas/.mathlib-build.log.</w:t>
      </w:r>
    </w:p>
    <w:p>
      <w:pPr>
        <w:spacing w:after="100"/>
      </w:pPr>
      <w:r>
        <w:rPr>
          <w:sz w:val="22"/>
          <w:szCs w:val="22"/>
        </w:rPr>
        <w:t xml:space="preserve">Default `lake build` is green in the `lean` workflow. The mathlib warm status (real, not faked) is logged in packages/lean-formulas/.mathlib-build.log.</w:t>
      </w:r>
    </w:p>
    <w:p>
      <w:pPr>
        <w:pStyle w:val="Heading1"/>
        <w:spacing w:after="120" w:before="240"/>
      </w:pPr>
      <w:r>
        <w:rPr>
          <w:b/>
          <w:bCs/>
          <w:sz w:val="36"/>
          <w:szCs w:val="36"/>
        </w:rPr>
        <w:t xml:space="preserve">5 · Doctrine v6 enforcement</w:t>
      </w:r>
    </w:p>
    <w:p>
      <w:pPr>
        <w:spacing w:after="100"/>
      </w:pPr>
      <w:r>
        <w:rPr>
          <w:sz w:val="22"/>
          <w:szCs w:val="22"/>
        </w:rPr>
        <w:t xml:space="preserve">A repository scanner walks every text-bearing file and rejects any forbidden token from the v6 deny-list (placeholders, hallucinated metrics, vague AI-language, partner names we have not earned). Latest run: 10,232 files scanned, 0 forbidden hits.</w:t>
      </w:r>
    </w:p>
    <w:p>
      <w:pPr>
        <w:spacing w:after="100"/>
      </w:pPr>
      <w:r>
        <w:rPr>
          <w:rFonts w:ascii="Consolas" w:cs="Consolas" w:eastAsia="Consolas" w:hAnsi="Consolas"/>
          <w:sz w:val="20"/>
          <w:szCs w:val="20"/>
        </w:rPr>
        <w:t xml:space="preserve">node scripts/check-doctrine-v6.mjs   # exit 0</w:t>
      </w:r>
    </w:p>
    <w:p>
      <w:pPr>
        <w:pStyle w:val="Heading1"/>
        <w:spacing w:after="120" w:before="240"/>
      </w:pPr>
      <w:r>
        <w:rPr>
          <w:b/>
          <w:bCs/>
          <w:sz w:val="36"/>
          <w:szCs w:val="36"/>
        </w:rPr>
        <w:t xml:space="preserve">6 · Concrete use cases we can already demo today</w:t>
      </w:r>
    </w:p>
    <w:p>
      <w:pPr>
        <w:pStyle w:val="ListParagraph"/>
        <w:numPr>
          <w:ilvl w:val="0"/>
          <w:numId w:val="1"/>
        </w:numPr>
        <w:spacing w:after="60"/>
      </w:pPr>
      <w:r>
        <w:rPr>
          <w:sz w:val="22"/>
          <w:szCs w:val="22"/>
        </w:rPr>
        <w:t xml:space="preserve">Cyber-incident triage with halt-authority: an analyst opens a dossier in sentra, evidence is typed and signed, R0513 OVERWATCH watches the stream read-only, and HUKLLA can halt any action that violates the policy floor. Source: artifacts/sentra/ + services/amaru/src/amaru/app.py (OVERWATCH + HUKLLA).</w:t>
      </w:r>
    </w:p>
    <w:p>
      <w:pPr>
        <w:pStyle w:val="ListParagraph"/>
        <w:numPr>
          <w:ilvl w:val="0"/>
          <w:numId w:val="1"/>
        </w:numPr>
        <w:spacing w:after="60"/>
      </w:pPr>
      <w:r>
        <w:rPr>
          <w:sz w:val="22"/>
          <w:szCs w:val="22"/>
        </w:rPr>
        <w:t xml:space="preserve">Maritime intelligence narrative: vessel + voyage state from artifacts/vessels routes through the same governance receipts; the vessels-pitch slides artifact tells the Dorian LPG story off the same data spine.</w:t>
      </w:r>
    </w:p>
    <w:p>
      <w:pPr>
        <w:pStyle w:val="ListParagraph"/>
        <w:numPr>
          <w:ilvl w:val="0"/>
          <w:numId w:val="1"/>
        </w:numPr>
        <w:spacing w:after="60"/>
      </w:pPr>
      <w:r>
        <w:rPr>
          <w:sz w:val="22"/>
          <w:szCs w:val="22"/>
        </w:rPr>
        <w:t xml:space="preserve">Governed routing of any business decision: rosie (and rosie-mobile in the field) carries a request through the doctrine layer — KS-18 contextuality check, HUKLLA halt-eligibility, OVERWATCH receipt — before the decision is allowed to commit.</w:t>
      </w:r>
    </w:p>
    <w:p>
      <w:pPr>
        <w:pStyle w:val="ListParagraph"/>
        <w:numPr>
          <w:ilvl w:val="0"/>
          <w:numId w:val="1"/>
        </w:numPr>
        <w:spacing w:after="60"/>
      </w:pPr>
      <w:r>
        <w:rPr>
          <w:sz w:val="22"/>
          <w:szCs w:val="22"/>
        </w:rPr>
        <w:t xml:space="preserve">Brand orchestration with contextuality guardrails: a11oy applies the σ_A·σ_B ≥ 0.25 complementarity floor to creative/operational tradeoffs, so a campaign that violates the brand's measurement-pair floor is rejected at runtime, not in retrospective review.</w:t>
      </w:r>
    </w:p>
    <w:p>
      <w:pPr>
        <w:pStyle w:val="ListParagraph"/>
        <w:numPr>
          <w:ilvl w:val="0"/>
          <w:numId w:val="1"/>
        </w:numPr>
        <w:spacing w:after="60"/>
      </w:pPr>
      <w:r>
        <w:rPr>
          <w:sz w:val="22"/>
          <w:szCs w:val="22"/>
        </w:rPr>
        <w:t xml:space="preserve">Andean stewardship organ: amaru + conduit expose the Λ-floor halt-authority as a user-visible service, with hash-chained receipts the operator can verify out-of-band.</w:t>
      </w:r>
    </w:p>
    <w:p>
      <w:pPr>
        <w:pStyle w:val="Heading1"/>
        <w:spacing w:after="120" w:before="240"/>
      </w:pPr>
      <w:r>
        <w:rPr>
          <w:b/>
          <w:bCs/>
          <w:sz w:val="36"/>
          <w:szCs w:val="36"/>
        </w:rPr>
        <w:t xml:space="preserve">7 · The GitHub-visibility question — open, for your call</w:t>
      </w:r>
    </w:p>
    <w:p>
      <w:pPr>
        <w:spacing w:after="100"/>
      </w:pPr>
      <w:r>
        <w:rPr>
          <w:sz w:val="22"/>
          <w:szCs w:val="22"/>
        </w:rPr>
        <w:t xml:space="preserve">Today the platform repo (https://github.com/szl-holdings/platform) and the per-artifact UDS release repos (https://github.com/szl-holdings/a11oy, https://github.com/szl-holdings/amaru, https://github.com/szl-holdings/sentra) plus the mesh (https://github.com/szl-holdings/uds-mesh) all live under github.com/szl-holdings/. The question is whether they should be public, private with named collaborators, or some hybrid. I am NOT closing this question — your call.</w:t>
      </w:r>
    </w:p>
    <w:p>
      <w:pPr>
        <w:pStyle w:val="Heading3"/>
        <w:spacing w:after="80" w:before="160"/>
      </w:pPr>
      <w:r>
        <w:rPr>
          <w:b/>
          <w:bCs/>
          <w:sz w:val="24"/>
          <w:szCs w:val="24"/>
        </w:rPr>
        <w:t xml:space="preserve">My current lean (open to being overridden by you)</w:t>
      </w:r>
    </w:p>
    <w:p>
      <w:pPr>
        <w:spacing w:after="100"/>
      </w:pPr>
      <w:r>
        <w:rPr>
          <w:sz w:val="22"/>
          <w:szCs w:val="22"/>
        </w:rPr>
        <w:t xml:space="preserve">If you push me, I lean toward keeping the platform repo and the mesh PRIVATE during the demo phase, and keeping the per-artifact release repos PUBLIC so anyone can pull and verify a signed bundle without an invite. The reasoning, in tradeoff form, not as a closed answer:</w:t>
      </w:r>
    </w:p>
    <w:p>
      <w:pPr>
        <w:pStyle w:val="ListParagraph"/>
        <w:numPr>
          <w:ilvl w:val="0"/>
          <w:numId w:val="1"/>
        </w:numPr>
        <w:spacing w:after="60"/>
      </w:pPr>
      <w:r>
        <w:rPr>
          <w:sz w:val="22"/>
          <w:szCs w:val="22"/>
        </w:rPr>
        <w:t xml:space="preserve">Pro-private (platform): the dossier shapes under services/amaru and the sentra surface look like real incident data; the Lean proof layer + doctrine scanner is the moat; opening it is a one-way move.</w:t>
      </w:r>
    </w:p>
    <w:p>
      <w:pPr>
        <w:pStyle w:val="ListParagraph"/>
        <w:numPr>
          <w:ilvl w:val="0"/>
          <w:numId w:val="1"/>
        </w:numPr>
        <w:spacing w:after="60"/>
      </w:pPr>
      <w:r>
        <w:rPr>
          <w:sz w:val="22"/>
          <w:szCs w:val="22"/>
        </w:rPr>
        <w:t xml:space="preserve">Pro-public (releases): the whole point of cosign + Rekor is that a third party can verify a bundle WITHOUT an account; private release repos defeat that. A public release page with a dev pubkey is fine as long as the dev key is clearly labeled as dev.</w:t>
      </w:r>
    </w:p>
    <w:p>
      <w:pPr>
        <w:pStyle w:val="ListParagraph"/>
        <w:numPr>
          <w:ilvl w:val="0"/>
          <w:numId w:val="1"/>
        </w:numPr>
        <w:spacing w:after="60"/>
      </w:pPr>
      <w:r>
        <w:rPr>
          <w:sz w:val="22"/>
          <w:szCs w:val="22"/>
        </w:rPr>
        <w:t xml:space="preserve">Pro-public (everything): tells the unicorn-defense story louder, faster; lets a CTO read the code before asking for access. Cost: we can't take it back.</w:t>
      </w:r>
    </w:p>
    <w:p>
      <w:pPr>
        <w:pStyle w:val="ListParagraph"/>
        <w:numPr>
          <w:ilvl w:val="0"/>
          <w:numId w:val="1"/>
        </w:numPr>
        <w:spacing w:after="60"/>
      </w:pPr>
      <w:r>
        <w:rPr>
          <w:sz w:val="22"/>
          <w:szCs w:val="22"/>
        </w:rPr>
        <w:t xml:space="preserve">Pro-private (everything): maximum control during the Series-A window; cost is friction for every reviewer.</w:t>
      </w:r>
    </w:p>
    <w:p>
      <w:pPr>
        <w:pStyle w:val="Heading3"/>
        <w:spacing w:after="80" w:before="160"/>
      </w:pPr>
      <w:r>
        <w:rPr>
          <w:b/>
          <w:bCs/>
          <w:sz w:val="24"/>
          <w:szCs w:val="24"/>
        </w:rPr>
        <w:t xml:space="preserve">Questions back to you (please answer in your reply)</w:t>
      </w:r>
    </w:p>
    <w:p>
      <w:pPr>
        <w:pStyle w:val="ListParagraph"/>
        <w:numPr>
          <w:ilvl w:val="0"/>
          <w:numId w:val="1"/>
        </w:numPr>
        <w:spacing w:after="60"/>
      </w:pPr>
      <w:r>
        <w:rPr>
          <w:sz w:val="22"/>
          <w:szCs w:val="22"/>
        </w:rPr>
        <w:t xml:space="preserve">Which visibility model do you want — full private, full public, or hybrid (platform + mesh private, release repos public)? Tell me your call; I'll execute it.</w:t>
      </w:r>
    </w:p>
    <w:p>
      <w:pPr>
        <w:pStyle w:val="ListParagraph"/>
        <w:numPr>
          <w:ilvl w:val="0"/>
          <w:numId w:val="1"/>
        </w:numPr>
        <w:spacing w:after="60"/>
      </w:pPr>
      <w:r>
        <w:rPr>
          <w:sz w:val="22"/>
          <w:szCs w:val="22"/>
        </w:rPr>
        <w:t xml:space="preserve">If hybrid or private: which GitHub handles should I invite, and at what permission level (admin / write / triage / read), for which repos?</w:t>
      </w:r>
    </w:p>
    <w:p>
      <w:pPr>
        <w:pStyle w:val="ListParagraph"/>
        <w:numPr>
          <w:ilvl w:val="0"/>
          <w:numId w:val="1"/>
        </w:numPr>
        <w:spacing w:after="60"/>
      </w:pPr>
      <w:r>
        <w:rPr>
          <w:sz w:val="22"/>
          <w:szCs w:val="22"/>
        </w:rPr>
        <w:t xml:space="preserve">If public: do you want me to rotate the dev cosign key to a production key first (recommended) or ship as-is with the dev key clearly labeled?</w:t>
      </w:r>
    </w:p>
    <w:p>
      <w:pPr>
        <w:pStyle w:val="ListParagraph"/>
        <w:numPr>
          <w:ilvl w:val="0"/>
          <w:numId w:val="1"/>
        </w:numPr>
        <w:spacing w:after="60"/>
      </w:pPr>
      <w:r>
        <w:rPr>
          <w:sz w:val="22"/>
          <w:szCs w:val="22"/>
        </w:rPr>
        <w:t xml:space="preserve">Do you want the production cosign key generated on your hardware (private half never touches our infra) or generated here and handed to you on a hardware token?</w:t>
      </w:r>
    </w:p>
    <w:p>
      <w:pPr>
        <w:pStyle w:val="ListParagraph"/>
        <w:numPr>
          <w:ilvl w:val="0"/>
          <w:numId w:val="1"/>
        </w:numPr>
        <w:spacing w:after="60"/>
      </w:pPr>
      <w:r>
        <w:rPr>
          <w:sz w:val="22"/>
          <w:szCs w:val="22"/>
        </w:rPr>
        <w:t xml:space="preserve">Is there a date you want any flip to happen by, so we can backplan key rotation?</w:t>
      </w:r>
    </w:p>
    <w:p>
      <w:pPr>
        <w:spacing w:after="100"/>
      </w:pPr>
      <w:r>
        <w:rPr>
          <w:sz w:val="22"/>
          <w:szCs w:val="22"/>
        </w:rPr>
        <w:t xml:space="preserve">If you'd rather I make the call: say the word and I'll go with hybrid (platform + mesh private; a11oy + amaru + sentra release repos public) and proceed with the dev-key-labeled-as-dev approach until production keys are ready. But the question stays open until you reply.</w:t>
      </w:r>
    </w:p>
    <w:p>
      <w:pPr>
        <w:pStyle w:val="Heading1"/>
        <w:spacing w:after="120" w:before="240"/>
      </w:pPr>
      <w:r>
        <w:rPr>
          <w:b/>
          <w:bCs/>
          <w:sz w:val="36"/>
          <w:szCs w:val="36"/>
        </w:rPr>
        <w:t xml:space="preserve">8 · Near-term plan (the next few weeks)</w:t>
      </w:r>
    </w:p>
    <w:p>
      <w:pPr>
        <w:pStyle w:val="ListParagraph"/>
        <w:numPr>
          <w:ilvl w:val="0"/>
          <w:numId w:val="1"/>
        </w:numPr>
        <w:spacing w:after="60"/>
      </w:pPr>
      <w:r>
        <w:rPr>
          <w:sz w:val="22"/>
          <w:szCs w:val="22"/>
        </w:rPr>
        <w:t xml:space="preserve">Laptop purchase incoming — once it lands I will run the full local mathlib warm (LeanDoctrineFull) end-to-end and check the build log into the repo with the timestamp.</w:t>
      </w:r>
    </w:p>
    <w:p>
      <w:pPr>
        <w:pStyle w:val="ListParagraph"/>
        <w:numPr>
          <w:ilvl w:val="0"/>
          <w:numId w:val="1"/>
        </w:numPr>
        <w:spacing w:after="60"/>
      </w:pPr>
      <w:r>
        <w:rPr>
          <w:sz w:val="22"/>
          <w:szCs w:val="22"/>
        </w:rPr>
        <w:t xml:space="preserve">UDS bundles deployed to a real Zarf/k8s cluster (not just signed tarballs on disk). Target: at least one of the three bundles up against a real cluster within two weeks of the laptop arriving.</w:t>
      </w:r>
    </w:p>
    <w:p>
      <w:pPr>
        <w:pStyle w:val="ListParagraph"/>
        <w:numPr>
          <w:ilvl w:val="0"/>
          <w:numId w:val="1"/>
        </w:numPr>
        <w:spacing w:after="60"/>
      </w:pPr>
      <w:r>
        <w:rPr>
          <w:sz w:val="22"/>
          <w:szCs w:val="22"/>
        </w:rPr>
        <w:t xml:space="preserve">First customer pilot conversation seeded off the use-case list in §6. Sentra (cyber triage) and Vessels (maritime intel) are the two with the cleanest demo path.</w:t>
      </w:r>
    </w:p>
    <w:p>
      <w:pPr>
        <w:pStyle w:val="ListParagraph"/>
        <w:numPr>
          <w:ilvl w:val="0"/>
          <w:numId w:val="1"/>
        </w:numPr>
        <w:spacing w:after="60"/>
      </w:pPr>
      <w:r>
        <w:rPr>
          <w:sz w:val="22"/>
          <w:szCs w:val="22"/>
        </w:rPr>
        <w:t xml:space="preserve">Production cosign key rotated in, dev key revoked, v0.2.0 UDS bundles re-signed.</w:t>
      </w:r>
    </w:p>
    <w:p>
      <w:pPr>
        <w:pStyle w:val="Heading1"/>
        <w:spacing w:after="120" w:before="240"/>
      </w:pPr>
      <w:r>
        <w:rPr>
          <w:b/>
          <w:bCs/>
          <w:sz w:val="36"/>
          <w:szCs w:val="36"/>
        </w:rPr>
        <w:t xml:space="preserve">9 · WarMonger / Warhacker red-team analysis</w:t>
      </w:r>
    </w:p>
    <w:p>
      <w:pPr>
        <w:spacing w:after="100"/>
      </w:pPr>
      <w:r>
        <w:rPr>
          <w:sz w:val="22"/>
          <w:szCs w:val="22"/>
        </w:rPr>
        <w:t xml:space="preserve">What an adversary would try, and what already stops them:</w:t>
      </w:r>
    </w:p>
    <w:p>
      <w:pPr>
        <w:pStyle w:val="Heading3"/>
        <w:spacing w:after="80" w:before="160"/>
      </w:pPr>
      <w:r>
        <w:rPr>
          <w:b/>
          <w:bCs/>
          <w:sz w:val="24"/>
          <w:szCs w:val="24"/>
        </w:rPr>
        <w:t xml:space="preserve">Threat: supply-chain injection (malicious bundle masquerading as ours)</w:t>
      </w:r>
    </w:p>
    <w:p>
      <w:pPr>
        <w:spacing w:after="100"/>
      </w:pPr>
      <w:r>
        <w:rPr>
          <w:sz w:val="22"/>
          <w:szCs w:val="22"/>
        </w:rPr>
        <w:t xml:space="preserve">Defense in place: every UDS tarball is sha256-recorded AND cosign-signed AND Rekor-logged. A tampered bundle fails the signature check; a fork-with-our-dev-key fails once the production key rotation in §7 completes.</w:t>
      </w:r>
    </w:p>
    <w:p>
      <w:pPr>
        <w:pStyle w:val="Heading3"/>
        <w:spacing w:after="80" w:before="160"/>
      </w:pPr>
      <w:r>
        <w:rPr>
          <w:b/>
          <w:bCs/>
          <w:sz w:val="24"/>
          <w:szCs w:val="24"/>
        </w:rPr>
        <w:t xml:space="preserve">Threat: prompt-injection / policy-bypass on a governed action</w:t>
      </w:r>
    </w:p>
    <w:p>
      <w:pPr>
        <w:spacing w:after="100"/>
      </w:pPr>
      <w:r>
        <w:rPr>
          <w:sz w:val="22"/>
          <w:szCs w:val="22"/>
        </w:rPr>
        <w:t xml:space="preserve">Defense in place: actions route through the doctrine layer — KS-18 contextuality witness rejects measurement-pair violations, HUKLLA holds halt-authority on Λ-floor violations, OVERWATCH writes an out-of-band read-only receipt the adversary cannot rewrite without also rewriting the hash chain.</w:t>
      </w:r>
    </w:p>
    <w:p>
      <w:pPr>
        <w:pStyle w:val="Heading3"/>
        <w:spacing w:after="80" w:before="160"/>
      </w:pPr>
      <w:r>
        <w:rPr>
          <w:b/>
          <w:bCs/>
          <w:sz w:val="24"/>
          <w:szCs w:val="24"/>
        </w:rPr>
        <w:t xml:space="preserve">Threat: prose-level hallucination in shipped artifacts (an LLM author slipping a vague claim into a document)</w:t>
      </w:r>
    </w:p>
    <w:p>
      <w:pPr>
        <w:spacing w:after="100"/>
      </w:pPr>
      <w:r>
        <w:rPr>
          <w:sz w:val="22"/>
          <w:szCs w:val="22"/>
        </w:rPr>
        <w:t xml:space="preserve">Defense in place: doctrine v6 scanner walks 10,232 files on every check; the deny-list rejects vague AI-language, fabricated metrics, and partner names. Build fails on a hit.</w:t>
      </w:r>
    </w:p>
    <w:p>
      <w:pPr>
        <w:pStyle w:val="Heading3"/>
        <w:spacing w:after="80" w:before="160"/>
      </w:pPr>
      <w:r>
        <w:rPr>
          <w:b/>
          <w:bCs/>
          <w:sz w:val="24"/>
          <w:szCs w:val="24"/>
        </w:rPr>
        <w:t xml:space="preserve">Threat: math-layer drift (someone weakens a proof to make a build green)</w:t>
      </w:r>
    </w:p>
    <w:p>
      <w:pPr>
        <w:spacing w:after="100"/>
      </w:pPr>
      <w:r>
        <w:rPr>
          <w:sz w:val="22"/>
          <w:szCs w:val="22"/>
        </w:rPr>
        <w:t xml:space="preserve">Defense in place: the proofs are Lean theorems, not test assertions. LeanDoctrineCore must type-check against the kernel; LeanDoctrineFull will additionally type-check against mathlib once the warm completes. A weakened proof simply does not type-check.</w:t>
      </w:r>
    </w:p>
    <w:p>
      <w:pPr>
        <w:pStyle w:val="Heading3"/>
        <w:spacing w:after="80" w:before="160"/>
      </w:pPr>
      <w:r>
        <w:rPr>
          <w:b/>
          <w:bCs/>
          <w:sz w:val="24"/>
          <w:szCs w:val="24"/>
        </w:rPr>
        <w:t xml:space="preserve">Threat: replay / receipt forgery</w:t>
      </w:r>
    </w:p>
    <w:p>
      <w:pPr>
        <w:spacing w:after="100"/>
      </w:pPr>
      <w:r>
        <w:rPr>
          <w:sz w:val="22"/>
          <w:szCs w:val="22"/>
        </w:rPr>
        <w:t xml:space="preserve">Defense in place: receipts are hash-chained; replay breaks the chain at the prior-hash field, which OVERWATCH observes.</w:t>
      </w:r>
    </w:p>
    <w:p>
      <w:pPr>
        <w:pStyle w:val="Heading1"/>
        <w:spacing w:after="120" w:before="240"/>
      </w:pPr>
      <w:r>
        <w:rPr>
          <w:b/>
          <w:bCs/>
          <w:sz w:val="36"/>
          <w:szCs w:val="36"/>
        </w:rPr>
        <w:t xml:space="preserve">10 · The asks</w:t>
      </w:r>
    </w:p>
    <w:p>
      <w:pPr>
        <w:pStyle w:val="ListParagraph"/>
        <w:numPr>
          <w:ilvl w:val="0"/>
          <w:numId w:val="1"/>
        </w:numPr>
        <w:spacing w:after="60"/>
      </w:pPr>
      <w:r>
        <w:rPr>
          <w:sz w:val="22"/>
          <w:szCs w:val="22"/>
        </w:rPr>
        <w:t xml:space="preserve">Confirm or amend the §7 GitHub plan and send the collaborator list.</w:t>
      </w:r>
    </w:p>
    <w:p>
      <w:pPr>
        <w:pStyle w:val="ListParagraph"/>
        <w:numPr>
          <w:ilvl w:val="0"/>
          <w:numId w:val="1"/>
        </w:numPr>
        <w:spacing w:after="60"/>
      </w:pPr>
      <w:r>
        <w:rPr>
          <w:sz w:val="22"/>
          <w:szCs w:val="22"/>
        </w:rPr>
        <w:t xml:space="preserve">Confirm the production cosign key generation path (your hardware vs. our hardware → hardware token).</w:t>
      </w:r>
    </w:p>
    <w:p>
      <w:pPr>
        <w:pStyle w:val="ListParagraph"/>
        <w:numPr>
          <w:ilvl w:val="0"/>
          <w:numId w:val="1"/>
        </w:numPr>
        <w:spacing w:after="60"/>
      </w:pPr>
      <w:r>
        <w:rPr>
          <w:sz w:val="22"/>
          <w:szCs w:val="22"/>
        </w:rPr>
        <w:t xml:space="preserve">Confirm the laptop spec / timing if there's anything to coordinate on the purchase.</w:t>
      </w:r>
    </w:p>
    <w:p>
      <w:pPr>
        <w:pStyle w:val="ListParagraph"/>
        <w:numPr>
          <w:ilvl w:val="0"/>
          <w:numId w:val="1"/>
        </w:numPr>
        <w:spacing w:after="60"/>
      </w:pPr>
      <w:r>
        <w:rPr>
          <w:sz w:val="22"/>
          <w:szCs w:val="22"/>
        </w:rPr>
        <w:t xml:space="preserve">Name the two Series-A reviewers whose feedback you most want me to incorporate before the next iteration.</w:t>
      </w:r>
    </w:p>
    <w:p>
      <w:r>
        <w:rPr>
          <w:color w:val="888888"/>
          <w:sz w:val="18"/>
          <w:szCs w:val="18"/>
        </w:rPr>
        <w:t xml:space="preserve">────────────────────────────────────────</w:t>
      </w:r>
    </w:p>
    <w:p>
      <w:pPr>
        <w:spacing w:after="100"/>
      </w:pPr>
      <w:r>
        <w:rPr>
          <w:color w:val="555555"/>
          <w:sz w:val="22"/>
          <w:szCs w:val="22"/>
        </w:rPr>
        <w:t xml:space="preserve">Repo: https://github.com/szl-holdings/platform</w:t>
      </w:r>
    </w:p>
    <w:p>
      <w:pPr>
        <w:spacing w:after="100"/>
      </w:pPr>
      <w:r>
        <w:rPr>
          <w:color w:val="555555"/>
          <w:sz w:val="22"/>
          <w:szCs w:val="22"/>
        </w:rPr>
        <w:t xml:space="preserve">Audit report: deliverables/audit-report.md</w:t>
      </w:r>
    </w:p>
    <w:p>
      <w:pPr>
        <w:spacing w:after="100"/>
      </w:pPr>
      <w:r>
        <w:rPr>
          <w:color w:val="555555"/>
          <w:sz w:val="22"/>
          <w:szCs w:val="22"/>
        </w:rPr>
        <w:t xml:space="preserve">Readiness scorecard: deliverables/series-a-readiness.md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Email — Series A Unicorn-Defense Brief</dc:title>
  <dc:creator>SZL Holdings</dc:creator>
  <dc:description>Private brief for Andrew with explicit GitHub-privacy ask</dc:description>
  <cp:lastModifiedBy>Un-named</cp:lastModifiedBy>
  <cp:revision>1</cp:revision>
  <dcterms:created xsi:type="dcterms:W3CDTF">2026-05-26T05:11:27.259Z</dcterms:created>
  <dcterms:modified xsi:type="dcterms:W3CDTF">2026-05-26T05:11:27.261Z</dcterms:modified>
</cp:coreProperties>
</file>

<file path=docProps/custom.xml><?xml version="1.0" encoding="utf-8"?>
<Properties xmlns="http://schemas.openxmlformats.org/officeDocument/2006/custom-properties" xmlns:vt="http://schemas.openxmlformats.org/officeDocument/2006/docPropsVTypes"/>
</file>