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BCE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三因共振量化决策体系（修订版 V2.2）</w:t>
      </w:r>
    </w:p>
    <w:p w14:paraId="5EBC6A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一、模型概述</w:t>
      </w:r>
    </w:p>
    <w:p w14:paraId="307EF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三因共振量化决策体系是融合价值投资、行为金融学和资金博弈的多维度量化投资模型，核心理念为价值因子（基本面）、市场因子（情绪面）、资金因子（博弈面）同时发出积极信号时，构成高概率投资机会。</w:t>
      </w:r>
    </w:p>
    <w:p w14:paraId="19025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适用范围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：A 股市场中流动性较好（流通市值≥50 亿、日均成交额≥1 亿）、基本面无重大瑕疵的标的，持股周期为数周至数月的中短期波段操作。</w:t>
      </w:r>
    </w:p>
    <w:p w14:paraId="2143E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设计原则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</w:t>
      </w:r>
    </w:p>
    <w:p w14:paraId="430340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三因共振：三个因子相互独立，共振时胜率最高，每月计算两两相关系数，连续 3 个月相关性 &gt; 0.6 则触发因子合并或权重调整。</w:t>
      </w:r>
    </w:p>
    <w:p w14:paraId="6585CD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量化先行：所有决策基于客观量化指标，无模糊主观判断，为普通散户提供数据替代方案。</w:t>
      </w:r>
      <w:bookmarkStart w:id="0" w:name="_GoBack"/>
      <w:bookmarkEnd w:id="0"/>
    </w:p>
    <w:p w14:paraId="53FEDB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风险前置：每笔交易预设止损，仓位按评分 + 标的流动性分配，建立全流程风控体系。</w:t>
      </w:r>
    </w:p>
    <w:p w14:paraId="33C1EE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持续迭代：定期复盘优化参数，按 ICIR 动态调整因子权重，适应市场风格与行业轮动变化。</w:t>
      </w:r>
    </w:p>
    <w:p w14:paraId="7B5735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行业适配：按行业属性制定差异化指标标准，兼顾个股绝对估值与行业相对估值。</w:t>
      </w:r>
    </w:p>
    <w:p w14:paraId="773D4E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二、模型架构：三层筛选漏斗</w:t>
      </w:r>
    </w:p>
    <w:p w14:paraId="60C0FE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第一层：价值因子（权重基准 30%，月度更新 + 临时触发更新）</w:t>
      </w:r>
    </w:p>
    <w:p w14:paraId="4D31B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目的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：筛选优质标的，排除价值毁灭型公司，建立核心股票池，将 ROE、经营现金流 / 净利润定为核心指标。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核心筛选标准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：标的需满足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评分≥7 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（3 项合格且含 2 项核心指标及以上），且无基本面重大瑕疵，触发临时更新后评分未降至 4 分以下。</w:t>
      </w:r>
    </w:p>
    <w:p w14:paraId="75EF42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1. 分行业指标标准 +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精准计算公式</w:t>
      </w:r>
    </w:p>
    <w:p w14:paraId="38272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按申万一级行业划分为五大类，制定专属计算公式与合格标准，数据来源为同花顺 / 东方财富、上市公司财报（合并报表），所有指标计算取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最新连续 3 个会计年度数据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（周期型行业区分景气期 / 低迷期，取对应周期数据）。</w:t>
      </w:r>
    </w:p>
    <w:p w14:paraId="75795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8"/>
        <w:gridCol w:w="3522"/>
        <w:gridCol w:w="711"/>
        <w:gridCol w:w="743"/>
        <w:gridCol w:w="909"/>
        <w:gridCol w:w="763"/>
        <w:gridCol w:w="1100"/>
      </w:tblGrid>
      <w:tr w14:paraId="1886CB5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C31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5CC7E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精准计算公式</w:t>
            </w:r>
          </w:p>
        </w:tc>
        <w:tc>
          <w:tcPr>
            <w:tcW w:w="0" w:type="auto"/>
            <w:shd w:val="clear"/>
            <w:vAlign w:val="center"/>
          </w:tcPr>
          <w:p w14:paraId="0A346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价值型（消费 / 医药）</w:t>
            </w:r>
          </w:p>
        </w:tc>
        <w:tc>
          <w:tcPr>
            <w:tcW w:w="0" w:type="auto"/>
            <w:shd w:val="clear"/>
            <w:vAlign w:val="center"/>
          </w:tcPr>
          <w:p w14:paraId="29A80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成长型（科创 / 新能源）</w:t>
            </w:r>
          </w:p>
        </w:tc>
        <w:tc>
          <w:tcPr>
            <w:tcW w:w="0" w:type="auto"/>
            <w:shd w:val="clear"/>
            <w:vAlign w:val="center"/>
          </w:tcPr>
          <w:p w14:paraId="64A54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周期型（有色 / 化工）</w:t>
            </w:r>
          </w:p>
        </w:tc>
        <w:tc>
          <w:tcPr>
            <w:tcW w:w="0" w:type="auto"/>
            <w:shd w:val="clear"/>
            <w:vAlign w:val="center"/>
          </w:tcPr>
          <w:p w14:paraId="4ED28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金融型（银行 / 证券）</w:t>
            </w:r>
          </w:p>
        </w:tc>
        <w:tc>
          <w:tcPr>
            <w:tcW w:w="0" w:type="auto"/>
            <w:shd w:val="clear"/>
            <w:vAlign w:val="center"/>
          </w:tcPr>
          <w:p w14:paraId="2F8CA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公用事业型（电力 / 水务）</w:t>
            </w:r>
          </w:p>
        </w:tc>
      </w:tr>
      <w:tr w14:paraId="15ACE2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2D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估值分位</w:t>
            </w:r>
          </w:p>
        </w:tc>
        <w:tc>
          <w:tcPr>
            <w:tcW w:w="0" w:type="auto"/>
            <w:shd w:val="clear"/>
            <w:vAlign w:val="center"/>
          </w:tcPr>
          <w:p w14:paraId="0E808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个股估值分位 =（个股当前 PE-TTM / 行业当前 PE-TTM 中位数）×（个股当前 PE-TTM / 个股历史 10 年 PE-TTM 中位数）×100%注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：PB 分位计算逻辑同上，周期行业优先用 PB 分位</w:t>
            </w:r>
          </w:p>
        </w:tc>
        <w:tc>
          <w:tcPr>
            <w:tcW w:w="0" w:type="auto"/>
            <w:shd w:val="clear"/>
            <w:vAlign w:val="center"/>
          </w:tcPr>
          <w:p w14:paraId="799E4B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≤50% 分位</w:t>
            </w:r>
          </w:p>
        </w:tc>
        <w:tc>
          <w:tcPr>
            <w:tcW w:w="0" w:type="auto"/>
            <w:shd w:val="clear"/>
            <w:vAlign w:val="center"/>
          </w:tcPr>
          <w:p w14:paraId="02FC2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≤60% 分位</w:t>
            </w:r>
          </w:p>
        </w:tc>
        <w:tc>
          <w:tcPr>
            <w:tcW w:w="0" w:type="auto"/>
            <w:shd w:val="clear"/>
            <w:vAlign w:val="center"/>
          </w:tcPr>
          <w:p w14:paraId="564A2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景气期≤60% 分位低迷期≤70% 分位</w:t>
            </w:r>
          </w:p>
        </w:tc>
        <w:tc>
          <w:tcPr>
            <w:tcW w:w="0" w:type="auto"/>
            <w:shd w:val="clear"/>
            <w:vAlign w:val="center"/>
          </w:tcPr>
          <w:p w14:paraId="54BB0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≤50% 分位（银行用 PB）</w:t>
            </w:r>
          </w:p>
        </w:tc>
        <w:tc>
          <w:tcPr>
            <w:tcW w:w="0" w:type="auto"/>
            <w:shd w:val="clear"/>
            <w:vAlign w:val="center"/>
          </w:tcPr>
          <w:p w14:paraId="4DB66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≤60% 分位</w:t>
            </w:r>
          </w:p>
        </w:tc>
      </w:tr>
      <w:tr w14:paraId="527006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60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ROE（净资产收益率）</w:t>
            </w:r>
          </w:p>
        </w:tc>
        <w:tc>
          <w:tcPr>
            <w:tcW w:w="0" w:type="auto"/>
            <w:shd w:val="clear"/>
            <w:vAlign w:val="center"/>
          </w:tcPr>
          <w:p w14:paraId="52065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加权平均 ROE=∑（各年度净资产 × 加权期数）÷∑净资产 ×100%简化计算公式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：ROE = 归属于母公司股东的净利润 ÷ 期末归属于母公司股东的净资产 ×100%</w:t>
            </w:r>
          </w:p>
        </w:tc>
        <w:tc>
          <w:tcPr>
            <w:tcW w:w="0" w:type="auto"/>
            <w:shd w:val="clear"/>
            <w:vAlign w:val="center"/>
          </w:tcPr>
          <w:p w14:paraId="632B8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连续 3 年≥15%</w:t>
            </w:r>
          </w:p>
        </w:tc>
        <w:tc>
          <w:tcPr>
            <w:tcW w:w="0" w:type="auto"/>
            <w:shd w:val="clear"/>
            <w:vAlign w:val="center"/>
          </w:tcPr>
          <w:p w14:paraId="26C34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连续 3 年≥8%</w:t>
            </w:r>
          </w:p>
        </w:tc>
        <w:tc>
          <w:tcPr>
            <w:tcW w:w="0" w:type="auto"/>
            <w:shd w:val="clear"/>
            <w:vAlign w:val="center"/>
          </w:tcPr>
          <w:p w14:paraId="6E1F7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景气期≥10%低迷期≥5%</w:t>
            </w:r>
          </w:p>
        </w:tc>
        <w:tc>
          <w:tcPr>
            <w:tcW w:w="0" w:type="auto"/>
            <w:shd w:val="clear"/>
            <w:vAlign w:val="center"/>
          </w:tcPr>
          <w:p w14:paraId="65C4A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连续 3 年≥10%</w:t>
            </w:r>
          </w:p>
        </w:tc>
        <w:tc>
          <w:tcPr>
            <w:tcW w:w="0" w:type="auto"/>
            <w:shd w:val="clear"/>
            <w:vAlign w:val="center"/>
          </w:tcPr>
          <w:p w14:paraId="13676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连续 3 年≥6%</w:t>
            </w:r>
          </w:p>
        </w:tc>
      </w:tr>
      <w:tr w14:paraId="28805F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C9E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经营现金流 / 净利润</w:t>
            </w:r>
          </w:p>
        </w:tc>
        <w:tc>
          <w:tcPr>
            <w:tcW w:w="0" w:type="auto"/>
            <w:shd w:val="clear"/>
            <w:vAlign w:val="center"/>
          </w:tcPr>
          <w:p w14:paraId="00E37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经营现金流净利润比 = 经营活动产生的现金流量净额 ÷ 归属于母公司股东的净利润 ×100%注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：净利润取扣非后净利润，避免非经常性损益干扰</w:t>
            </w:r>
          </w:p>
        </w:tc>
        <w:tc>
          <w:tcPr>
            <w:tcW w:w="0" w:type="auto"/>
            <w:shd w:val="clear"/>
            <w:vAlign w:val="center"/>
          </w:tcPr>
          <w:p w14:paraId="7DE4C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≥0.8</w:t>
            </w:r>
          </w:p>
        </w:tc>
        <w:tc>
          <w:tcPr>
            <w:tcW w:w="0" w:type="auto"/>
            <w:shd w:val="clear"/>
            <w:vAlign w:val="center"/>
          </w:tcPr>
          <w:p w14:paraId="4FF69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≥0.7</w:t>
            </w:r>
          </w:p>
        </w:tc>
        <w:tc>
          <w:tcPr>
            <w:tcW w:w="0" w:type="auto"/>
            <w:shd w:val="clear"/>
            <w:vAlign w:val="center"/>
          </w:tcPr>
          <w:p w14:paraId="352C5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≥0.6</w:t>
            </w:r>
          </w:p>
        </w:tc>
        <w:tc>
          <w:tcPr>
            <w:tcW w:w="0" w:type="auto"/>
            <w:shd w:val="clear"/>
            <w:vAlign w:val="center"/>
          </w:tcPr>
          <w:p w14:paraId="3C1FE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≥0.8</w:t>
            </w:r>
          </w:p>
        </w:tc>
        <w:tc>
          <w:tcPr>
            <w:tcW w:w="0" w:type="auto"/>
            <w:shd w:val="clear"/>
            <w:vAlign w:val="center"/>
          </w:tcPr>
          <w:p w14:paraId="3BFA9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≥0.7</w:t>
            </w:r>
          </w:p>
        </w:tc>
      </w:tr>
      <w:tr w14:paraId="3F8C5E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0B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资产负债率</w:t>
            </w:r>
          </w:p>
        </w:tc>
        <w:tc>
          <w:tcPr>
            <w:tcW w:w="0" w:type="auto"/>
            <w:shd w:val="clear"/>
            <w:vAlign w:val="center"/>
          </w:tcPr>
          <w:p w14:paraId="0CF25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资产负债率 = 期末总负债 ÷ 期末总资产 ×100%金融股专属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：银行 = 总负债 ÷ 总负债 + 所有者权益 ×100%；证券 = 净资本 / 风险资本准备 ×100%（替代）</w:t>
            </w:r>
          </w:p>
        </w:tc>
        <w:tc>
          <w:tcPr>
            <w:tcW w:w="0" w:type="auto"/>
            <w:shd w:val="clear"/>
            <w:vAlign w:val="center"/>
          </w:tcPr>
          <w:p w14:paraId="5C57F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≤50%</w:t>
            </w:r>
          </w:p>
        </w:tc>
        <w:tc>
          <w:tcPr>
            <w:tcW w:w="0" w:type="auto"/>
            <w:shd w:val="clear"/>
            <w:vAlign w:val="center"/>
          </w:tcPr>
          <w:p w14:paraId="0E64C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≤70%</w:t>
            </w:r>
          </w:p>
        </w:tc>
        <w:tc>
          <w:tcPr>
            <w:tcW w:w="0" w:type="auto"/>
            <w:shd w:val="clear"/>
            <w:vAlign w:val="center"/>
          </w:tcPr>
          <w:p w14:paraId="07774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≤75%</w:t>
            </w:r>
          </w:p>
        </w:tc>
        <w:tc>
          <w:tcPr>
            <w:tcW w:w="0" w:type="auto"/>
            <w:shd w:val="clear"/>
            <w:vAlign w:val="center"/>
          </w:tcPr>
          <w:p w14:paraId="28F8E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银行≤90%证券≤80%</w:t>
            </w:r>
          </w:p>
        </w:tc>
        <w:tc>
          <w:tcPr>
            <w:tcW w:w="0" w:type="auto"/>
            <w:shd w:val="clear"/>
            <w:vAlign w:val="center"/>
          </w:tcPr>
          <w:p w14:paraId="30D81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≤65%</w:t>
            </w:r>
          </w:p>
        </w:tc>
      </w:tr>
      <w:tr w14:paraId="195C040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A0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净利润增长率</w:t>
            </w:r>
          </w:p>
        </w:tc>
        <w:tc>
          <w:tcPr>
            <w:tcW w:w="0" w:type="auto"/>
            <w:shd w:val="clear"/>
            <w:vAlign w:val="center"/>
          </w:tcPr>
          <w:p w14:paraId="47010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复合净利润增长率 =（当年扣非净利润 ÷ 前 3 年扣非净利润）^(1/3)-1×100%连续增长验证</w:t>
            </w: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：（本年净利润 - 上年净利润）÷ 上年净利润 ×100%，逐年度验证</w:t>
            </w:r>
          </w:p>
        </w:tc>
        <w:tc>
          <w:tcPr>
            <w:tcW w:w="0" w:type="auto"/>
            <w:shd w:val="clear"/>
            <w:vAlign w:val="center"/>
          </w:tcPr>
          <w:p w14:paraId="53B07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近 3 年无连续负增长</w:t>
            </w:r>
          </w:p>
        </w:tc>
        <w:tc>
          <w:tcPr>
            <w:tcW w:w="0" w:type="auto"/>
            <w:shd w:val="clear"/>
            <w:vAlign w:val="center"/>
          </w:tcPr>
          <w:p w14:paraId="402D8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近 3 年复合增速≥10%</w:t>
            </w:r>
          </w:p>
        </w:tc>
        <w:tc>
          <w:tcPr>
            <w:tcW w:w="0" w:type="auto"/>
            <w:shd w:val="clear"/>
            <w:vAlign w:val="center"/>
          </w:tcPr>
          <w:p w14:paraId="16045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避免连续 2 年负增长</w:t>
            </w:r>
          </w:p>
        </w:tc>
        <w:tc>
          <w:tcPr>
            <w:tcW w:w="0" w:type="auto"/>
            <w:shd w:val="clear"/>
            <w:vAlign w:val="center"/>
          </w:tcPr>
          <w:p w14:paraId="6BAE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近 3 年无连续负增长</w:t>
            </w:r>
          </w:p>
        </w:tc>
        <w:tc>
          <w:tcPr>
            <w:tcW w:w="0" w:type="auto"/>
            <w:shd w:val="clear"/>
            <w:vAlign w:val="center"/>
          </w:tcPr>
          <w:p w14:paraId="4323D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允许单年微幅负增长（≥-5%）</w:t>
            </w:r>
          </w:p>
        </w:tc>
      </w:tr>
    </w:tbl>
    <w:p w14:paraId="15E806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2. 评分规则</w:t>
      </w:r>
    </w:p>
    <w:p w14:paraId="19404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83"/>
        <w:gridCol w:w="1131"/>
        <w:gridCol w:w="4411"/>
      </w:tblGrid>
      <w:tr w14:paraId="6ED15A98">
        <w:trPr>
          <w:tblHeader/>
          <w:tblCellSpacing w:w="15" w:type="dxa"/>
        </w:trPr>
        <w:tc>
          <w:tcPr>
            <w:tcW w:w="2738" w:type="dxa"/>
            <w:shd w:val="clear"/>
            <w:vAlign w:val="center"/>
          </w:tcPr>
          <w:p w14:paraId="7B8B5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合格项数</w:t>
            </w:r>
          </w:p>
        </w:tc>
        <w:tc>
          <w:tcPr>
            <w:tcW w:w="1101" w:type="dxa"/>
            <w:shd w:val="clear"/>
            <w:vAlign w:val="center"/>
          </w:tcPr>
          <w:p w14:paraId="1BBA5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4366" w:type="dxa"/>
            <w:shd w:val="clear"/>
            <w:vAlign w:val="center"/>
          </w:tcPr>
          <w:p w14:paraId="55354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处理方式</w:t>
            </w:r>
          </w:p>
        </w:tc>
      </w:tr>
      <w:tr w14:paraId="40AE4754">
        <w:trPr>
          <w:tblCellSpacing w:w="15" w:type="dxa"/>
        </w:trPr>
        <w:tc>
          <w:tcPr>
            <w:tcW w:w="2738" w:type="dxa"/>
            <w:shd w:val="clear"/>
            <w:vAlign w:val="center"/>
          </w:tcPr>
          <w:p w14:paraId="54C88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 项全部合格</w:t>
            </w:r>
          </w:p>
        </w:tc>
        <w:tc>
          <w:tcPr>
            <w:tcW w:w="1101" w:type="dxa"/>
            <w:shd w:val="clear"/>
            <w:vAlign w:val="center"/>
          </w:tcPr>
          <w:p w14:paraId="29293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 分</w:t>
            </w:r>
          </w:p>
        </w:tc>
        <w:tc>
          <w:tcPr>
            <w:tcW w:w="4366" w:type="dxa"/>
            <w:shd w:val="clear"/>
            <w:vAlign w:val="center"/>
          </w:tcPr>
          <w:p w14:paraId="7B418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核心标的，纳入核心股票池</w:t>
            </w:r>
          </w:p>
        </w:tc>
      </w:tr>
      <w:tr w14:paraId="540712B6">
        <w:trPr>
          <w:tblCellSpacing w:w="15" w:type="dxa"/>
        </w:trPr>
        <w:tc>
          <w:tcPr>
            <w:tcW w:w="2738" w:type="dxa"/>
            <w:shd w:val="clear"/>
            <w:vAlign w:val="center"/>
          </w:tcPr>
          <w:p w14:paraId="39476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 项合格</w:t>
            </w:r>
          </w:p>
        </w:tc>
        <w:tc>
          <w:tcPr>
            <w:tcW w:w="1101" w:type="dxa"/>
            <w:shd w:val="clear"/>
            <w:vAlign w:val="center"/>
          </w:tcPr>
          <w:p w14:paraId="3BB2E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 分</w:t>
            </w:r>
          </w:p>
        </w:tc>
        <w:tc>
          <w:tcPr>
            <w:tcW w:w="4366" w:type="dxa"/>
            <w:shd w:val="clear"/>
            <w:vAlign w:val="center"/>
          </w:tcPr>
          <w:p w14:paraId="1FC3C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优质标的，纳入核心股票池</w:t>
            </w:r>
          </w:p>
        </w:tc>
      </w:tr>
      <w:tr w14:paraId="3799EB95">
        <w:trPr>
          <w:tblCellSpacing w:w="15" w:type="dxa"/>
        </w:trPr>
        <w:tc>
          <w:tcPr>
            <w:tcW w:w="2738" w:type="dxa"/>
            <w:shd w:val="clear"/>
            <w:vAlign w:val="center"/>
          </w:tcPr>
          <w:p w14:paraId="52F4E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 项合格（含 2 项核心指标）</w:t>
            </w:r>
          </w:p>
        </w:tc>
        <w:tc>
          <w:tcPr>
            <w:tcW w:w="1101" w:type="dxa"/>
            <w:shd w:val="clear"/>
            <w:vAlign w:val="center"/>
          </w:tcPr>
          <w:p w14:paraId="15744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 分</w:t>
            </w:r>
          </w:p>
        </w:tc>
        <w:tc>
          <w:tcPr>
            <w:tcW w:w="4366" w:type="dxa"/>
            <w:shd w:val="clear"/>
            <w:vAlign w:val="center"/>
          </w:tcPr>
          <w:p w14:paraId="4A71F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观察标的，纳入核心股票池</w:t>
            </w:r>
          </w:p>
        </w:tc>
      </w:tr>
      <w:tr w14:paraId="5CD3DE2C">
        <w:trPr>
          <w:tblCellSpacing w:w="15" w:type="dxa"/>
        </w:trPr>
        <w:tc>
          <w:tcPr>
            <w:tcW w:w="2738" w:type="dxa"/>
            <w:shd w:val="clear"/>
            <w:vAlign w:val="center"/>
          </w:tcPr>
          <w:p w14:paraId="0F2BC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 项合格（缺核心指标）</w:t>
            </w:r>
          </w:p>
        </w:tc>
        <w:tc>
          <w:tcPr>
            <w:tcW w:w="1101" w:type="dxa"/>
            <w:shd w:val="clear"/>
            <w:vAlign w:val="center"/>
          </w:tcPr>
          <w:p w14:paraId="2C05F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 分</w:t>
            </w:r>
          </w:p>
        </w:tc>
        <w:tc>
          <w:tcPr>
            <w:tcW w:w="4366" w:type="dxa"/>
            <w:shd w:val="clear"/>
            <w:vAlign w:val="center"/>
          </w:tcPr>
          <w:p w14:paraId="4DA5C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淘汰，不纳入股票池</w:t>
            </w:r>
          </w:p>
        </w:tc>
      </w:tr>
      <w:tr w14:paraId="47D943FD">
        <w:trPr>
          <w:tblCellSpacing w:w="15" w:type="dxa"/>
        </w:trPr>
        <w:tc>
          <w:tcPr>
            <w:tcW w:w="2738" w:type="dxa"/>
            <w:shd w:val="clear"/>
            <w:vAlign w:val="center"/>
          </w:tcPr>
          <w:p w14:paraId="16FC5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少于 3 项合格</w:t>
            </w:r>
          </w:p>
        </w:tc>
        <w:tc>
          <w:tcPr>
            <w:tcW w:w="1101" w:type="dxa"/>
            <w:shd w:val="clear"/>
            <w:vAlign w:val="center"/>
          </w:tcPr>
          <w:p w14:paraId="3CF9B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 分</w:t>
            </w:r>
          </w:p>
        </w:tc>
        <w:tc>
          <w:tcPr>
            <w:tcW w:w="4366" w:type="dxa"/>
            <w:shd w:val="clear"/>
            <w:vAlign w:val="center"/>
          </w:tcPr>
          <w:p w14:paraId="554B8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淘汰，不纳入股票池</w:t>
            </w:r>
          </w:p>
        </w:tc>
      </w:tr>
    </w:tbl>
    <w:p w14:paraId="2EB9C4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3. 临时更新机制</w:t>
      </w:r>
    </w:p>
    <w:p w14:paraId="3A2EF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当标的出现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业绩预告 / 快报、商誉减值、监管立案、重大资产重组、实控人失联 / 减持≥5%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 xml:space="preserve"> 等基本面重大变化时，立即触发临时评分，评分降至 4 分以下则直接从核心股票池剔除。</w:t>
      </w:r>
    </w:p>
    <w:p w14:paraId="79C7A0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第二层：市场因子（权重基准 30%，周度更新）</w:t>
      </w:r>
    </w:p>
    <w:p w14:paraId="2CE4F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目的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：判断市场整体位置 + 风格特征，识别散户极端情绪，决定整体仓位上限，避免风格背离导致的 “指数涨个股跌”。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核心筛选标准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：先通过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基础阈值筛选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（指标无极端失真），再计算历史分位得分，最终得出归一化得分，按得分匹配市场判断与仓位上限；风格因子需与核心股票池标的风格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匹配度≥70%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。</w:t>
      </w:r>
    </w:p>
    <w:p w14:paraId="0BAA3A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1. 指标体系 +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精准计算公式 + 双重筛选标准</w:t>
      </w:r>
    </w:p>
    <w:p w14:paraId="14F63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指标数据来源为东方财富数据中心、同花顺 iFinD、中登公司、央行官网，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基础筛选标准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为指标值处于市场合理区间（无异常极值），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信号筛选标准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采用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过去 5 年历史分位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（每月更新分位阈值），原始得分范围 - 14～+14，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归一化得分 =(原始得分 + 14)÷28×10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。</w:t>
      </w:r>
    </w:p>
    <w:p w14:paraId="7645F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8"/>
        <w:gridCol w:w="891"/>
        <w:gridCol w:w="3105"/>
        <w:gridCol w:w="1690"/>
        <w:gridCol w:w="1746"/>
        <w:gridCol w:w="317"/>
        <w:gridCol w:w="259"/>
      </w:tblGrid>
      <w:tr w14:paraId="3873D1E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FC8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45F39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5186B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精准计算公式</w:t>
            </w:r>
          </w:p>
        </w:tc>
        <w:tc>
          <w:tcPr>
            <w:tcW w:w="0" w:type="auto"/>
            <w:shd w:val="clear"/>
            <w:vAlign w:val="center"/>
          </w:tcPr>
          <w:p w14:paraId="1F553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基础筛选标准</w:t>
            </w: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（无异常）</w:t>
            </w:r>
          </w:p>
        </w:tc>
        <w:tc>
          <w:tcPr>
            <w:tcW w:w="0" w:type="auto"/>
            <w:shd w:val="clear"/>
            <w:vAlign w:val="center"/>
          </w:tcPr>
          <w:p w14:paraId="2AC54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信号筛选标准</w:t>
            </w: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（历史分位）</w:t>
            </w:r>
          </w:p>
        </w:tc>
        <w:tc>
          <w:tcPr>
            <w:tcW w:w="0" w:type="auto"/>
            <w:shd w:val="clear"/>
            <w:vAlign w:val="center"/>
          </w:tcPr>
          <w:p w14:paraId="7D7A1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6585E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权重</w:t>
            </w:r>
          </w:p>
        </w:tc>
      </w:tr>
      <w:tr w14:paraId="0B89EB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61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整体估值</w:t>
            </w:r>
          </w:p>
        </w:tc>
        <w:tc>
          <w:tcPr>
            <w:tcW w:w="0" w:type="auto"/>
            <w:shd w:val="clear"/>
            <w:vAlign w:val="center"/>
          </w:tcPr>
          <w:p w14:paraId="0DC14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 A 等权 PE 分位</w:t>
            </w:r>
          </w:p>
        </w:tc>
        <w:tc>
          <w:tcPr>
            <w:tcW w:w="0" w:type="auto"/>
            <w:shd w:val="clear"/>
            <w:vAlign w:val="center"/>
          </w:tcPr>
          <w:p w14:paraId="6F6F6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 A 等权 PE 分位 = 当前全 A 等权 PE-TTM÷ 全 A 等权 PE-TTM 过去 5 年最大值 ×100%</w:t>
            </w:r>
          </w:p>
        </w:tc>
        <w:tc>
          <w:tcPr>
            <w:tcW w:w="0" w:type="auto"/>
            <w:shd w:val="clear"/>
            <w:vAlign w:val="center"/>
          </w:tcPr>
          <w:p w14:paraId="7B70A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 A 等权 PE-TTM≠0 且无单日跳涨 / 跌≥20%</w:t>
            </w:r>
          </w:p>
        </w:tc>
        <w:tc>
          <w:tcPr>
            <w:tcW w:w="0" w:type="auto"/>
            <w:shd w:val="clear"/>
            <w:vAlign w:val="center"/>
          </w:tcPr>
          <w:p w14:paraId="7DC15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≤20%：+3；≥80%：-3</w:t>
            </w:r>
          </w:p>
        </w:tc>
        <w:tc>
          <w:tcPr>
            <w:tcW w:w="0" w:type="auto"/>
            <w:shd w:val="clear"/>
            <w:vAlign w:val="center"/>
          </w:tcPr>
          <w:p w14:paraId="1BD51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±3</w:t>
            </w:r>
          </w:p>
        </w:tc>
        <w:tc>
          <w:tcPr>
            <w:tcW w:w="0" w:type="auto"/>
            <w:shd w:val="clear"/>
            <w:vAlign w:val="center"/>
          </w:tcPr>
          <w:p w14:paraId="1BCB8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148F60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BB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散户情绪</w:t>
            </w:r>
          </w:p>
        </w:tc>
        <w:tc>
          <w:tcPr>
            <w:tcW w:w="0" w:type="auto"/>
            <w:shd w:val="clear"/>
            <w:vAlign w:val="center"/>
          </w:tcPr>
          <w:p w14:paraId="1FBAA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融资买入额占比（分板块）</w:t>
            </w:r>
          </w:p>
        </w:tc>
        <w:tc>
          <w:tcPr>
            <w:tcW w:w="0" w:type="auto"/>
            <w:shd w:val="clear"/>
            <w:vAlign w:val="center"/>
          </w:tcPr>
          <w:p w14:paraId="0463D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融资买入额占比 = 单板块融资买入额 ÷A 股全市场总成交额 ×100%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分主板 / 科创板单独计算</w:t>
            </w:r>
          </w:p>
        </w:tc>
        <w:tc>
          <w:tcPr>
            <w:tcW w:w="0" w:type="auto"/>
            <w:shd w:val="clear"/>
            <w:vAlign w:val="center"/>
          </w:tcPr>
          <w:p w14:paraId="32546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单板块融资买入额≥10 亿，A 股总成交额≥5000 亿</w:t>
            </w:r>
          </w:p>
        </w:tc>
        <w:tc>
          <w:tcPr>
            <w:tcW w:w="0" w:type="auto"/>
            <w:shd w:val="clear"/>
            <w:vAlign w:val="center"/>
          </w:tcPr>
          <w:p w14:paraId="3B94D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主板≤20%/+3、≥80%/-3；科创板≤20%/+3、≥80%/-3</w:t>
            </w:r>
          </w:p>
        </w:tc>
        <w:tc>
          <w:tcPr>
            <w:tcW w:w="0" w:type="auto"/>
            <w:shd w:val="clear"/>
            <w:vAlign w:val="center"/>
          </w:tcPr>
          <w:p w14:paraId="0CB02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±3</w:t>
            </w:r>
          </w:p>
        </w:tc>
        <w:tc>
          <w:tcPr>
            <w:tcW w:w="0" w:type="auto"/>
            <w:shd w:val="clear"/>
            <w:vAlign w:val="center"/>
          </w:tcPr>
          <w:p w14:paraId="11788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3D9BFF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A0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资金供给</w:t>
            </w:r>
          </w:p>
        </w:tc>
        <w:tc>
          <w:tcPr>
            <w:tcW w:w="0" w:type="auto"/>
            <w:shd w:val="clear"/>
            <w:vAlign w:val="center"/>
          </w:tcPr>
          <w:p w14:paraId="7436F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偏股基金发行份额（周度环比）</w:t>
            </w:r>
          </w:p>
        </w:tc>
        <w:tc>
          <w:tcPr>
            <w:tcW w:w="0" w:type="auto"/>
            <w:shd w:val="clear"/>
            <w:vAlign w:val="center"/>
          </w:tcPr>
          <w:p w14:paraId="4B842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周度环比增速 =（当周偏股基金发行份额 - 上周发行份额）÷ 上周发行份额 ×100%注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：含股票型 + 混合型基金</w:t>
            </w:r>
          </w:p>
        </w:tc>
        <w:tc>
          <w:tcPr>
            <w:tcW w:w="0" w:type="auto"/>
            <w:shd w:val="clear"/>
            <w:vAlign w:val="center"/>
          </w:tcPr>
          <w:p w14:paraId="10687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单周发行份额≥1 亿份</w:t>
            </w:r>
          </w:p>
        </w:tc>
        <w:tc>
          <w:tcPr>
            <w:tcW w:w="0" w:type="auto"/>
            <w:shd w:val="clear"/>
            <w:vAlign w:val="center"/>
          </w:tcPr>
          <w:p w14:paraId="15FA4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≤20%：+2；≥80%：-2</w:t>
            </w:r>
          </w:p>
        </w:tc>
        <w:tc>
          <w:tcPr>
            <w:tcW w:w="0" w:type="auto"/>
            <w:shd w:val="clear"/>
            <w:vAlign w:val="center"/>
          </w:tcPr>
          <w:p w14:paraId="22099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±2</w:t>
            </w:r>
          </w:p>
        </w:tc>
        <w:tc>
          <w:tcPr>
            <w:tcW w:w="0" w:type="auto"/>
            <w:shd w:val="clear"/>
            <w:vAlign w:val="center"/>
          </w:tcPr>
          <w:p w14:paraId="44B3C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7ED0C0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CF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投资者增量</w:t>
            </w:r>
          </w:p>
        </w:tc>
        <w:tc>
          <w:tcPr>
            <w:tcW w:w="0" w:type="auto"/>
            <w:shd w:val="clear"/>
            <w:vAlign w:val="center"/>
          </w:tcPr>
          <w:p w14:paraId="3C815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中登周度新增投资者（环比）</w:t>
            </w:r>
          </w:p>
        </w:tc>
        <w:tc>
          <w:tcPr>
            <w:tcW w:w="0" w:type="auto"/>
            <w:shd w:val="clear"/>
            <w:vAlign w:val="center"/>
          </w:tcPr>
          <w:p w14:paraId="32A77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周度环比增速 =（当周新增投资者数 - 上周新增数）÷ 上周新增数 ×100%</w:t>
            </w:r>
          </w:p>
        </w:tc>
        <w:tc>
          <w:tcPr>
            <w:tcW w:w="0" w:type="auto"/>
            <w:shd w:val="clear"/>
            <w:vAlign w:val="center"/>
          </w:tcPr>
          <w:p w14:paraId="096AD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单周新增投资者数≥10 万户</w:t>
            </w:r>
          </w:p>
        </w:tc>
        <w:tc>
          <w:tcPr>
            <w:tcW w:w="0" w:type="auto"/>
            <w:shd w:val="clear"/>
            <w:vAlign w:val="center"/>
          </w:tcPr>
          <w:p w14:paraId="0E870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≤20%：+2；≥80%：-2</w:t>
            </w:r>
          </w:p>
        </w:tc>
        <w:tc>
          <w:tcPr>
            <w:tcW w:w="0" w:type="auto"/>
            <w:shd w:val="clear"/>
            <w:vAlign w:val="center"/>
          </w:tcPr>
          <w:p w14:paraId="4244E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±2</w:t>
            </w:r>
          </w:p>
        </w:tc>
        <w:tc>
          <w:tcPr>
            <w:tcW w:w="0" w:type="auto"/>
            <w:shd w:val="clear"/>
            <w:vAlign w:val="center"/>
          </w:tcPr>
          <w:p w14:paraId="7EE39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76F92E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E2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股债性价比</w:t>
            </w:r>
          </w:p>
        </w:tc>
        <w:tc>
          <w:tcPr>
            <w:tcW w:w="0" w:type="auto"/>
            <w:shd w:val="clear"/>
            <w:vAlign w:val="center"/>
          </w:tcPr>
          <w:p w14:paraId="6EB70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/ 全 A PE ÷ 10 年期国债收益率</w:t>
            </w:r>
          </w:p>
        </w:tc>
        <w:tc>
          <w:tcPr>
            <w:tcW w:w="0" w:type="auto"/>
            <w:shd w:val="clear"/>
            <w:vAlign w:val="center"/>
          </w:tcPr>
          <w:p w14:paraId="2928D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股债性价比 =（1÷ 全 A 等权 PE-TTM）÷10 年期国债到期收益率 ×100%注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：国债收益率取中债登最新值</w:t>
            </w:r>
          </w:p>
        </w:tc>
        <w:tc>
          <w:tcPr>
            <w:tcW w:w="0" w:type="auto"/>
            <w:shd w:val="clear"/>
            <w:vAlign w:val="center"/>
          </w:tcPr>
          <w:p w14:paraId="1A8D2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 A 等权 PE-TTM≠0，国债收益率≥1.5%</w:t>
            </w:r>
          </w:p>
        </w:tc>
        <w:tc>
          <w:tcPr>
            <w:tcW w:w="0" w:type="auto"/>
            <w:shd w:val="clear"/>
            <w:vAlign w:val="center"/>
          </w:tcPr>
          <w:p w14:paraId="26053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≥80%：+2；≤20%：-2</w:t>
            </w:r>
          </w:p>
        </w:tc>
        <w:tc>
          <w:tcPr>
            <w:tcW w:w="0" w:type="auto"/>
            <w:shd w:val="clear"/>
            <w:vAlign w:val="center"/>
          </w:tcPr>
          <w:p w14:paraId="6BAB5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±2</w:t>
            </w:r>
          </w:p>
        </w:tc>
        <w:tc>
          <w:tcPr>
            <w:tcW w:w="0" w:type="auto"/>
            <w:shd w:val="clear"/>
            <w:vAlign w:val="center"/>
          </w:tcPr>
          <w:p w14:paraId="5798B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37C0EE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43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市场情绪</w:t>
            </w:r>
          </w:p>
        </w:tc>
        <w:tc>
          <w:tcPr>
            <w:tcW w:w="0" w:type="auto"/>
            <w:shd w:val="clear"/>
            <w:vAlign w:val="center"/>
          </w:tcPr>
          <w:p w14:paraId="5198B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 A 成交量周度同比 + 涨跌停家数比</w:t>
            </w:r>
          </w:p>
        </w:tc>
        <w:tc>
          <w:tcPr>
            <w:tcW w:w="0" w:type="auto"/>
            <w:shd w:val="clear"/>
            <w:vAlign w:val="center"/>
          </w:tcPr>
          <w:p w14:paraId="451A8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成交量周度同比 =（当周全 A 成交量 - 去年同期成交量）÷ 去年同期成交量 ×100%涨跌停家数比 = 全 A 涨停家数 ÷ 全 A 跌停家数（跌停家数为 0 则取 10）</w:t>
            </w:r>
          </w:p>
        </w:tc>
        <w:tc>
          <w:tcPr>
            <w:tcW w:w="0" w:type="auto"/>
            <w:shd w:val="clear"/>
            <w:vAlign w:val="center"/>
          </w:tcPr>
          <w:p w14:paraId="271D3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 A 单周成交量≥10 万亿，涨停家数≥5 家</w:t>
            </w:r>
          </w:p>
        </w:tc>
        <w:tc>
          <w:tcPr>
            <w:tcW w:w="0" w:type="auto"/>
            <w:shd w:val="clear"/>
            <w:vAlign w:val="center"/>
          </w:tcPr>
          <w:p w14:paraId="18E6B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成交量≤20%/+1、≥80%/-1；涨跌停比≤20%/+1、≥80%/-1</w:t>
            </w:r>
          </w:p>
        </w:tc>
        <w:tc>
          <w:tcPr>
            <w:tcW w:w="0" w:type="auto"/>
            <w:shd w:val="clear"/>
            <w:vAlign w:val="center"/>
          </w:tcPr>
          <w:p w14:paraId="7B30B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±2</w:t>
            </w:r>
          </w:p>
        </w:tc>
        <w:tc>
          <w:tcPr>
            <w:tcW w:w="0" w:type="auto"/>
            <w:shd w:val="clear"/>
            <w:vAlign w:val="center"/>
          </w:tcPr>
          <w:p w14:paraId="34692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01121C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43B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市场风格</w:t>
            </w:r>
          </w:p>
        </w:tc>
        <w:tc>
          <w:tcPr>
            <w:tcW w:w="0" w:type="auto"/>
            <w:shd w:val="clear"/>
            <w:vAlign w:val="center"/>
          </w:tcPr>
          <w:p w14:paraId="07859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大盘 / 小盘 + 价值 / 成长风格</w:t>
            </w:r>
          </w:p>
        </w:tc>
        <w:tc>
          <w:tcPr>
            <w:tcW w:w="0" w:type="auto"/>
            <w:shd w:val="clear"/>
            <w:vAlign w:val="center"/>
          </w:tcPr>
          <w:p w14:paraId="1C669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大盘 / 小盘比值 = 沪深 300 指数周收益率 ÷ 中证 1000 指数周收益率价值 / 成长比值 = 国证价值指数周收益率 ÷ 国证成长指数周收益率</w:t>
            </w:r>
          </w:p>
        </w:tc>
        <w:tc>
          <w:tcPr>
            <w:tcW w:w="0" w:type="auto"/>
            <w:shd w:val="clear"/>
            <w:vAlign w:val="center"/>
          </w:tcPr>
          <w:p w14:paraId="70E66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指数周收益率≠0，无单日涨 / 跌≥5%</w:t>
            </w:r>
          </w:p>
        </w:tc>
        <w:tc>
          <w:tcPr>
            <w:tcW w:w="0" w:type="auto"/>
            <w:shd w:val="clear"/>
            <w:vAlign w:val="center"/>
          </w:tcPr>
          <w:p w14:paraId="48E98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小盘成长占优（比值 &lt;0.8）：+1；大盘价值占优（比值&gt; 1.2）：-1</w:t>
            </w:r>
          </w:p>
        </w:tc>
        <w:tc>
          <w:tcPr>
            <w:tcW w:w="0" w:type="auto"/>
            <w:shd w:val="clear"/>
            <w:vAlign w:val="center"/>
          </w:tcPr>
          <w:p w14:paraId="65490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±1</w:t>
            </w:r>
          </w:p>
        </w:tc>
        <w:tc>
          <w:tcPr>
            <w:tcW w:w="0" w:type="auto"/>
            <w:shd w:val="clear"/>
            <w:vAlign w:val="center"/>
          </w:tcPr>
          <w:p w14:paraId="63BD4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</w:tbl>
    <w:p w14:paraId="04D811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2. 整体仓位上限（基于归一化得分）</w:t>
      </w:r>
    </w:p>
    <w:p w14:paraId="3B2CC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结合市场判断设定差异化仓位，兼顾进攻性与风险控制，熊市极端行情直接空仓。</w:t>
      </w:r>
    </w:p>
    <w:p w14:paraId="0992F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1340"/>
        <w:gridCol w:w="975"/>
        <w:gridCol w:w="3695"/>
      </w:tblGrid>
      <w:tr w14:paraId="58138BD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DA0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市场因子归一化得分</w:t>
            </w:r>
          </w:p>
        </w:tc>
        <w:tc>
          <w:tcPr>
            <w:tcW w:w="0" w:type="auto"/>
            <w:shd w:val="clear"/>
            <w:vAlign w:val="center"/>
          </w:tcPr>
          <w:p w14:paraId="642FE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市场判断</w:t>
            </w:r>
          </w:p>
        </w:tc>
        <w:tc>
          <w:tcPr>
            <w:tcW w:w="0" w:type="auto"/>
            <w:shd w:val="clear"/>
            <w:vAlign w:val="center"/>
          </w:tcPr>
          <w:p w14:paraId="7DF4A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仓位上限</w:t>
            </w:r>
          </w:p>
        </w:tc>
        <w:tc>
          <w:tcPr>
            <w:tcW w:w="0" w:type="auto"/>
            <w:shd w:val="clear"/>
            <w:vAlign w:val="center"/>
          </w:tcPr>
          <w:p w14:paraId="7EFB9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0B0745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4F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≥9 分</w:t>
            </w:r>
          </w:p>
        </w:tc>
        <w:tc>
          <w:tcPr>
            <w:tcW w:w="0" w:type="auto"/>
            <w:shd w:val="clear"/>
            <w:vAlign w:val="center"/>
          </w:tcPr>
          <w:p w14:paraId="1E333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牛市初期 / 中期</w:t>
            </w:r>
          </w:p>
        </w:tc>
        <w:tc>
          <w:tcPr>
            <w:tcW w:w="0" w:type="auto"/>
            <w:shd w:val="clear"/>
            <w:vAlign w:val="center"/>
          </w:tcPr>
          <w:p w14:paraId="21729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0590A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 A 趋势向上，情绪低迷后回暖，风格明确</w:t>
            </w:r>
          </w:p>
        </w:tc>
      </w:tr>
      <w:tr w14:paraId="170E4D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8A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8-8.9 分</w:t>
            </w:r>
          </w:p>
        </w:tc>
        <w:tc>
          <w:tcPr>
            <w:tcW w:w="0" w:type="auto"/>
            <w:shd w:val="clear"/>
            <w:vAlign w:val="center"/>
          </w:tcPr>
          <w:p w14:paraId="1ADAE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强势震荡市</w:t>
            </w:r>
          </w:p>
        </w:tc>
        <w:tc>
          <w:tcPr>
            <w:tcW w:w="0" w:type="auto"/>
            <w:shd w:val="clear"/>
            <w:vAlign w:val="center"/>
          </w:tcPr>
          <w:p w14:paraId="02CA9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/>
            <w:vAlign w:val="center"/>
          </w:tcPr>
          <w:p w14:paraId="09972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市场估值合理，情绪中性，板块轮动有序</w:t>
            </w:r>
          </w:p>
        </w:tc>
      </w:tr>
      <w:tr w14:paraId="07AC8F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02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4-7.9 分</w:t>
            </w:r>
          </w:p>
        </w:tc>
        <w:tc>
          <w:tcPr>
            <w:tcW w:w="0" w:type="auto"/>
            <w:shd w:val="clear"/>
            <w:vAlign w:val="center"/>
          </w:tcPr>
          <w:p w14:paraId="2FD6C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弱势震荡市</w:t>
            </w:r>
          </w:p>
        </w:tc>
        <w:tc>
          <w:tcPr>
            <w:tcW w:w="0" w:type="auto"/>
            <w:shd w:val="clear"/>
            <w:vAlign w:val="center"/>
          </w:tcPr>
          <w:p w14:paraId="593BF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02608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市场估值偏高 / 偏低，情绪反复，板块轮动快</w:t>
            </w:r>
          </w:p>
        </w:tc>
      </w:tr>
      <w:tr w14:paraId="079244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54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1-3.9 分</w:t>
            </w:r>
          </w:p>
        </w:tc>
        <w:tc>
          <w:tcPr>
            <w:tcW w:w="0" w:type="auto"/>
            <w:shd w:val="clear"/>
            <w:vAlign w:val="center"/>
          </w:tcPr>
          <w:p w14:paraId="4DE5A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熊市初期 / 中期</w:t>
            </w:r>
          </w:p>
        </w:tc>
        <w:tc>
          <w:tcPr>
            <w:tcW w:w="0" w:type="auto"/>
            <w:shd w:val="clear"/>
            <w:vAlign w:val="center"/>
          </w:tcPr>
          <w:p w14:paraId="31212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2E384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市场趋势向下，情绪偏空，赚钱效应差</w:t>
            </w:r>
          </w:p>
        </w:tc>
      </w:tr>
      <w:tr w14:paraId="494E75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20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0-1 分</w:t>
            </w:r>
          </w:p>
        </w:tc>
        <w:tc>
          <w:tcPr>
            <w:tcW w:w="0" w:type="auto"/>
            <w:shd w:val="clear"/>
            <w:vAlign w:val="center"/>
          </w:tcPr>
          <w:p w14:paraId="2C4CD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熊市中期 / 末期</w:t>
            </w:r>
          </w:p>
        </w:tc>
        <w:tc>
          <w:tcPr>
            <w:tcW w:w="0" w:type="auto"/>
            <w:shd w:val="clear"/>
            <w:vAlign w:val="center"/>
          </w:tcPr>
          <w:p w14:paraId="18F33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0%（空仓）</w:t>
            </w:r>
          </w:p>
        </w:tc>
        <w:tc>
          <w:tcPr>
            <w:tcW w:w="0" w:type="auto"/>
            <w:shd w:val="clear"/>
            <w:vAlign w:val="center"/>
          </w:tcPr>
          <w:p w14:paraId="49A50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市场系统性下跌，跌停家数激增，黑天鹅频发</w:t>
            </w:r>
          </w:p>
        </w:tc>
      </w:tr>
    </w:tbl>
    <w:p w14:paraId="02DE0A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3. 风格适配筛选规则</w:t>
      </w:r>
    </w:p>
    <w:p w14:paraId="03F637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风格因子得分 + 1（小盘成长占优）：核心股票池中小盘成长标的占比≥70%，剔除大盘价值标的超 30%；</w:t>
      </w:r>
    </w:p>
    <w:p w14:paraId="460319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风格因子得分 - 1（大盘价值占优）：核心股票池中大盘价值标的占比≥70%，剔除小盘成长标的超 30%；</w:t>
      </w:r>
    </w:p>
    <w:p w14:paraId="6502FD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风格因子得 0（平衡市）：核心股票池标的风格均衡，单风格占比不超过 50%。</w:t>
      </w:r>
    </w:p>
    <w:p w14:paraId="0BB83C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第三层：资金因子（权重基准 40%，日度更新）</w:t>
      </w:r>
    </w:p>
    <w:p w14:paraId="23619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目的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：捕捉主力资金动向，验证筹码结构，识别主力意图，设计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专业版（Level-2）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 xml:space="preserve"> 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散户版（Level-1 + 公开数据）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 xml:space="preserve"> 双版本，降低数据依赖，所有规则均量化明确。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核心筛选标准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：先通过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基础有效性筛选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（指标无失真、数据可验证），再按加权规则计算得分，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得分≥5 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方可纳入建仓观察范围，≥8 分为重点建仓标的，≤3 分直接回避。</w:t>
      </w:r>
    </w:p>
    <w:p w14:paraId="46105B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1. 双版本指标体系 +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精准计算公式 + 双重筛选标准 + 加权评分规则</w:t>
      </w:r>
    </w:p>
    <w:p w14:paraId="44A6A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数据来源为同花顺 / 通达信（Level-1/Level-2）、中登公司、上市公司公告，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基础有效性筛选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为指标数据无异常（如涨跌停、停牌失真），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信号筛选标准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为指标达到量化触发条件，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满分 10 分，加权求和得出最终得分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，涨跌停 / 停牌时触发信号修正机制。</w:t>
      </w:r>
    </w:p>
    <w:p w14:paraId="45AAE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"/>
        <w:gridCol w:w="350"/>
        <w:gridCol w:w="882"/>
        <w:gridCol w:w="2303"/>
        <w:gridCol w:w="1359"/>
        <w:gridCol w:w="1186"/>
        <w:gridCol w:w="2000"/>
      </w:tblGrid>
      <w:tr w14:paraId="371636A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72D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3851C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2A229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398D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精准计算公式</w:t>
            </w:r>
          </w:p>
        </w:tc>
        <w:tc>
          <w:tcPr>
            <w:tcW w:w="0" w:type="auto"/>
            <w:shd w:val="clear"/>
            <w:vAlign w:val="center"/>
          </w:tcPr>
          <w:p w14:paraId="5AACC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基础有效性筛选</w:t>
            </w:r>
          </w:p>
        </w:tc>
        <w:tc>
          <w:tcPr>
            <w:tcW w:w="0" w:type="auto"/>
            <w:shd w:val="clear"/>
            <w:vAlign w:val="center"/>
          </w:tcPr>
          <w:p w14:paraId="5C1FD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信号筛选标准</w:t>
            </w:r>
          </w:p>
        </w:tc>
        <w:tc>
          <w:tcPr>
            <w:tcW w:w="0" w:type="auto"/>
            <w:shd w:val="clear"/>
            <w:vAlign w:val="center"/>
          </w:tcPr>
          <w:p w14:paraId="610ED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量化评分规则</w:t>
            </w:r>
          </w:p>
        </w:tc>
      </w:tr>
      <w:tr w14:paraId="5D6E3A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C7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主力资金</w:t>
            </w:r>
          </w:p>
        </w:tc>
        <w:tc>
          <w:tcPr>
            <w:tcW w:w="0" w:type="auto"/>
            <w:shd w:val="clear"/>
            <w:vAlign w:val="center"/>
          </w:tcPr>
          <w:p w14:paraId="797F2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7F7B4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超大单净流入（专业版）（大单 - 小单）净流入（散户版）</w:t>
            </w:r>
          </w:p>
        </w:tc>
        <w:tc>
          <w:tcPr>
            <w:tcW w:w="0" w:type="auto"/>
            <w:shd w:val="clear"/>
            <w:vAlign w:val="center"/>
          </w:tcPr>
          <w:p w14:paraId="5FC5A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近 5 日累计净流入 =∑（每日超大单 / 大单净流入 - 每日小单净流入）Level-2 定义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：超大单≥100 万，大单≥50 万，小单 &lt; 10 万</w:t>
            </w:r>
          </w:p>
        </w:tc>
        <w:tc>
          <w:tcPr>
            <w:tcW w:w="0" w:type="auto"/>
            <w:shd w:val="clear"/>
            <w:vAlign w:val="center"/>
          </w:tcPr>
          <w:p w14:paraId="7835F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标的日均成交额≥1 亿，无连续涨跌停</w:t>
            </w:r>
          </w:p>
        </w:tc>
        <w:tc>
          <w:tcPr>
            <w:tcW w:w="0" w:type="auto"/>
            <w:shd w:val="clear"/>
            <w:vAlign w:val="center"/>
          </w:tcPr>
          <w:p w14:paraId="264BE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近 5 日累计净流入≠0</w:t>
            </w:r>
          </w:p>
        </w:tc>
        <w:tc>
          <w:tcPr>
            <w:tcW w:w="0" w:type="auto"/>
            <w:shd w:val="clear"/>
            <w:vAlign w:val="center"/>
          </w:tcPr>
          <w:p w14:paraId="388E5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净额 &gt; 0：+1 分；连续 3 日 &gt; 0：再 + 1 分；净额 &lt; 0：0 分</w:t>
            </w:r>
          </w:p>
        </w:tc>
      </w:tr>
      <w:tr w14:paraId="601025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C0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能量潮</w:t>
            </w:r>
          </w:p>
        </w:tc>
        <w:tc>
          <w:tcPr>
            <w:tcW w:w="0" w:type="auto"/>
            <w:shd w:val="clear"/>
            <w:vAlign w:val="center"/>
          </w:tcPr>
          <w:p w14:paraId="290BA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000FB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OBV 趋势（前复权）</w:t>
            </w:r>
          </w:p>
        </w:tc>
        <w:tc>
          <w:tcPr>
            <w:tcW w:w="0" w:type="auto"/>
            <w:shd w:val="clear"/>
            <w:vAlign w:val="center"/>
          </w:tcPr>
          <w:p w14:paraId="40F10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当日 OBV = 前日 OBV + 当日成交量 × 涨跌幅符号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（涨为 + 1，跌为 - 1，平为 0）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OBV 创新高 = 当日 OBV &gt; 过去 60 日 OBV 最大值OBV 底背离 = 股价创 60 日新低，OBV 未创 60 日新低</w:t>
            </w:r>
          </w:p>
        </w:tc>
        <w:tc>
          <w:tcPr>
            <w:tcW w:w="0" w:type="auto"/>
            <w:shd w:val="clear"/>
            <w:vAlign w:val="center"/>
          </w:tcPr>
          <w:p w14:paraId="2664C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标的前复权价格无除权除息失真，成交量≥5000 手</w:t>
            </w:r>
          </w:p>
        </w:tc>
        <w:tc>
          <w:tcPr>
            <w:tcW w:w="0" w:type="auto"/>
            <w:shd w:val="clear"/>
            <w:vAlign w:val="center"/>
          </w:tcPr>
          <w:p w14:paraId="2729D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OBV 趋势无横盘（60 日波动≥10%）</w:t>
            </w:r>
          </w:p>
        </w:tc>
        <w:tc>
          <w:tcPr>
            <w:tcW w:w="0" w:type="auto"/>
            <w:shd w:val="clear"/>
            <w:vAlign w:val="center"/>
          </w:tcPr>
          <w:p w14:paraId="42BC2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OBV 创新高且股价未新高：+1 分；OBV 底背离：+2 分；OBV 顶背离：-2 分；其余：0 分</w:t>
            </w:r>
          </w:p>
        </w:tc>
      </w:tr>
      <w:tr w14:paraId="129286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62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融资余额</w:t>
            </w:r>
          </w:p>
        </w:tc>
        <w:tc>
          <w:tcPr>
            <w:tcW w:w="0" w:type="auto"/>
            <w:shd w:val="clear"/>
            <w:vAlign w:val="center"/>
          </w:tcPr>
          <w:p w14:paraId="53A0A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/>
            <w:vAlign w:val="center"/>
          </w:tcPr>
          <w:p w14:paraId="3F793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近 5 日融资余额累计变化</w:t>
            </w:r>
          </w:p>
        </w:tc>
        <w:tc>
          <w:tcPr>
            <w:tcW w:w="0" w:type="auto"/>
            <w:shd w:val="clear"/>
            <w:vAlign w:val="center"/>
          </w:tcPr>
          <w:p w14:paraId="324B8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融资余额累计变化 = 当日融资余额 - 5 日前融资余额变化幅度 = 累计变化 ÷5 日前融资余额 ×100%</w:t>
            </w:r>
          </w:p>
        </w:tc>
        <w:tc>
          <w:tcPr>
            <w:tcW w:w="0" w:type="auto"/>
            <w:shd w:val="clear"/>
            <w:vAlign w:val="center"/>
          </w:tcPr>
          <w:p w14:paraId="558A1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标的融资余额≥1 亿，无融资停牌</w:t>
            </w:r>
          </w:p>
        </w:tc>
        <w:tc>
          <w:tcPr>
            <w:tcW w:w="0" w:type="auto"/>
            <w:shd w:val="clear"/>
            <w:vAlign w:val="center"/>
          </w:tcPr>
          <w:p w14:paraId="13FCB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股价 5 日涨 / 跌幅度≥3%</w:t>
            </w:r>
          </w:p>
        </w:tc>
        <w:tc>
          <w:tcPr>
            <w:tcW w:w="0" w:type="auto"/>
            <w:shd w:val="clear"/>
            <w:vAlign w:val="center"/>
          </w:tcPr>
          <w:p w14:paraId="60ECC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股价跌≥5% 且融资余额回升≥2%：+2 分；股价涨≥5% 且融资余额下降≥2%：-1 分；其余：0 分</w:t>
            </w:r>
          </w:p>
        </w:tc>
      </w:tr>
      <w:tr w14:paraId="1090B8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92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筹码分布</w:t>
            </w:r>
          </w:p>
        </w:tc>
        <w:tc>
          <w:tcPr>
            <w:tcW w:w="0" w:type="auto"/>
            <w:shd w:val="clear"/>
            <w:vAlign w:val="center"/>
          </w:tcPr>
          <w:p w14:paraId="2AC40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02840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底部筹码锁定度（专业版）流通股东户数变化（散户版）</w:t>
            </w:r>
          </w:p>
        </w:tc>
        <w:tc>
          <w:tcPr>
            <w:tcW w:w="0" w:type="auto"/>
            <w:shd w:val="clear"/>
            <w:vAlign w:val="center"/>
          </w:tcPr>
          <w:p w14:paraId="49A72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专业版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：筹码集中度变化率 =（当日底部筹码集中度 - 5 日前）÷5 日前 ×100%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散户版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：股东户数变化率 =（本周股东户数 - 上周）÷ 上周 ×100%</w:t>
            </w:r>
          </w:p>
        </w:tc>
        <w:tc>
          <w:tcPr>
            <w:tcW w:w="0" w:type="auto"/>
            <w:shd w:val="clear"/>
            <w:vAlign w:val="center"/>
          </w:tcPr>
          <w:p w14:paraId="3DA1F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专业版：筹码峰无断层；散户版：股东户数披露无延迟</w:t>
            </w:r>
          </w:p>
        </w:tc>
        <w:tc>
          <w:tcPr>
            <w:tcW w:w="0" w:type="auto"/>
            <w:shd w:val="clear"/>
            <w:vAlign w:val="center"/>
          </w:tcPr>
          <w:p w14:paraId="4F722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底部筹码占比≥30%（专业版）；股东户数≥1 万户（散户版）</w:t>
            </w:r>
          </w:p>
        </w:tc>
        <w:tc>
          <w:tcPr>
            <w:tcW w:w="0" w:type="auto"/>
            <w:shd w:val="clear"/>
            <w:vAlign w:val="center"/>
          </w:tcPr>
          <w:p w14:paraId="2C188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专业版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：集中度变化 &lt;5%：+2 分；&gt;10%：-2 分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散户版</w:t>
            </w: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：连 2 周减少≥3%：+2 分；连 2 周增加≥5%：-2 分；其余：0 分</w:t>
            </w:r>
          </w:p>
        </w:tc>
      </w:tr>
      <w:tr w14:paraId="37A51A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809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量价关系</w:t>
            </w:r>
          </w:p>
        </w:tc>
        <w:tc>
          <w:tcPr>
            <w:tcW w:w="0" w:type="auto"/>
            <w:shd w:val="clear"/>
            <w:vAlign w:val="center"/>
          </w:tcPr>
          <w:p w14:paraId="7787E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46798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量比 + 换手率 + 涨跌幅</w:t>
            </w:r>
          </w:p>
        </w:tc>
        <w:tc>
          <w:tcPr>
            <w:tcW w:w="0" w:type="auto"/>
            <w:shd w:val="clear"/>
            <w:vAlign w:val="center"/>
          </w:tcPr>
          <w:p w14:paraId="1C0BF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量比 = 当日即时成交量 ÷ 过去 5 日平均每分钟成交量换手率 = 当日成交量 ÷ 流通股本 ×100%涨跌幅 =（当日收盘价 - 前日收盘价）÷ 前日收盘价 ×100%</w:t>
            </w:r>
          </w:p>
        </w:tc>
        <w:tc>
          <w:tcPr>
            <w:tcW w:w="0" w:type="auto"/>
            <w:shd w:val="clear"/>
            <w:vAlign w:val="center"/>
          </w:tcPr>
          <w:p w14:paraId="0BA2D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量比 0.1-10，换手率 0.5%-20%，无一字涨跌停</w:t>
            </w:r>
          </w:p>
        </w:tc>
        <w:tc>
          <w:tcPr>
            <w:tcW w:w="0" w:type="auto"/>
            <w:shd w:val="clear"/>
            <w:vAlign w:val="center"/>
          </w:tcPr>
          <w:p w14:paraId="2A37E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涨跌幅 - 5%～+10%，量比与换手率匹配</w:t>
            </w:r>
          </w:p>
        </w:tc>
        <w:tc>
          <w:tcPr>
            <w:tcW w:w="0" w:type="auto"/>
            <w:shd w:val="clear"/>
            <w:vAlign w:val="center"/>
          </w:tcPr>
          <w:p w14:paraId="590EE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上涨≥2% 且量比 &gt; 1.5 且换手率 3%-10%：+1 分；缩量回调（跌≤3%）且量比 &lt; 0.8：+1 分；其余：0 分</w:t>
            </w:r>
          </w:p>
        </w:tc>
      </w:tr>
    </w:tbl>
    <w:p w14:paraId="2F7991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2. 资金状态判断（基于筛选后得分）</w:t>
      </w:r>
    </w:p>
    <w:p w14:paraId="7E7C2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"/>
        <w:gridCol w:w="2370"/>
        <w:gridCol w:w="2565"/>
      </w:tblGrid>
      <w:tr w14:paraId="5A3B61A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8EB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资金因子得分</w:t>
            </w:r>
          </w:p>
        </w:tc>
        <w:tc>
          <w:tcPr>
            <w:tcW w:w="0" w:type="auto"/>
            <w:shd w:val="clear"/>
            <w:vAlign w:val="center"/>
          </w:tcPr>
          <w:p w14:paraId="0B9CD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资金状态判断</w:t>
            </w:r>
          </w:p>
        </w:tc>
        <w:tc>
          <w:tcPr>
            <w:tcW w:w="0" w:type="auto"/>
            <w:shd w:val="clear"/>
            <w:vAlign w:val="center"/>
          </w:tcPr>
          <w:p w14:paraId="48949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操作建议</w:t>
            </w:r>
          </w:p>
        </w:tc>
      </w:tr>
      <w:tr w14:paraId="3C08D2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A6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≥8 分</w:t>
            </w:r>
          </w:p>
        </w:tc>
        <w:tc>
          <w:tcPr>
            <w:tcW w:w="0" w:type="auto"/>
            <w:shd w:val="clear"/>
            <w:vAlign w:val="center"/>
          </w:tcPr>
          <w:p w14:paraId="1DBB8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主力高度控盘，主升浪启动区</w:t>
            </w:r>
          </w:p>
        </w:tc>
        <w:tc>
          <w:tcPr>
            <w:tcW w:w="0" w:type="auto"/>
            <w:shd w:val="clear"/>
            <w:vAlign w:val="center"/>
          </w:tcPr>
          <w:p w14:paraId="1CB83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重点关注，符合综合评分则建仓</w:t>
            </w:r>
          </w:p>
        </w:tc>
      </w:tr>
      <w:tr w14:paraId="491E2BF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43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5-7.9 分</w:t>
            </w:r>
          </w:p>
        </w:tc>
        <w:tc>
          <w:tcPr>
            <w:tcW w:w="0" w:type="auto"/>
            <w:shd w:val="clear"/>
            <w:vAlign w:val="center"/>
          </w:tcPr>
          <w:p w14:paraId="056B9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主力温和吸筹，观察区</w:t>
            </w:r>
          </w:p>
        </w:tc>
        <w:tc>
          <w:tcPr>
            <w:tcW w:w="0" w:type="auto"/>
            <w:shd w:val="clear"/>
            <w:vAlign w:val="center"/>
          </w:tcPr>
          <w:p w14:paraId="79711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跟踪指标变化，等待共振信号</w:t>
            </w:r>
          </w:p>
        </w:tc>
      </w:tr>
      <w:tr w14:paraId="2CCD20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B1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3-4.9 分</w:t>
            </w:r>
          </w:p>
        </w:tc>
        <w:tc>
          <w:tcPr>
            <w:tcW w:w="0" w:type="auto"/>
            <w:shd w:val="clear"/>
            <w:vAlign w:val="center"/>
          </w:tcPr>
          <w:p w14:paraId="2DB9E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主力与散户博弈，震荡区</w:t>
            </w:r>
          </w:p>
        </w:tc>
        <w:tc>
          <w:tcPr>
            <w:tcW w:w="0" w:type="auto"/>
            <w:shd w:val="clear"/>
            <w:vAlign w:val="center"/>
          </w:tcPr>
          <w:p w14:paraId="5A495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轻仓试探或观望，避免追涨杀跌</w:t>
            </w:r>
          </w:p>
        </w:tc>
      </w:tr>
      <w:tr w14:paraId="57F5CE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DA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≤3 分</w:t>
            </w:r>
          </w:p>
        </w:tc>
        <w:tc>
          <w:tcPr>
            <w:tcW w:w="0" w:type="auto"/>
            <w:shd w:val="clear"/>
            <w:vAlign w:val="center"/>
          </w:tcPr>
          <w:p w14:paraId="0BC72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主力出货或观望，回避区</w:t>
            </w:r>
          </w:p>
        </w:tc>
        <w:tc>
          <w:tcPr>
            <w:tcW w:w="0" w:type="auto"/>
            <w:shd w:val="clear"/>
            <w:vAlign w:val="center"/>
          </w:tcPr>
          <w:p w14:paraId="04173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坚决排除，不纳入建仓标的</w:t>
            </w:r>
          </w:p>
        </w:tc>
      </w:tr>
    </w:tbl>
    <w:p w14:paraId="00F048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3. 信号修正机制</w:t>
      </w:r>
    </w:p>
    <w:p w14:paraId="7532D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当标的出现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涨跌停、停牌、T+1 资金锁定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时，对资金因子进行修正，避免信号失真：</w:t>
      </w:r>
    </w:p>
    <w:p w14:paraId="0B47BA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涨跌停板：当日资金因子评分不计入 5 日累计，标注 “信号失真”，开板后恢复正常计算；</w:t>
      </w:r>
    </w:p>
    <w:p w14:paraId="1D45AD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停牌：停牌期间按停牌前最后 1 日得分计算，复牌后重新全面评估指标；</w:t>
      </w:r>
    </w:p>
    <w:p w14:paraId="0697BB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T+1 资金锁定：当日买入资金对应的量价数据，次日再纳入因子计算。</w:t>
      </w:r>
    </w:p>
    <w:p w14:paraId="18A286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三、综合评分与决策矩阵</w:t>
      </w:r>
    </w:p>
    <w:p w14:paraId="623A59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1. 综合评分公式</w:t>
      </w:r>
    </w:p>
    <w:p w14:paraId="38AC6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总评分 = 价值因子得分 × 动态权重₁+ 市场因子归一化得分 × 动态权重₂+ 资金因子得分 × 动态权重₃- 调仓成本扣分项</w:t>
      </w:r>
    </w:p>
    <w:p w14:paraId="746959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动态权重调整：每季度计算各因子 ICIR（信息系数 / 信息比率），按 ICIR 比例分配权重，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调整幅度 ±20%</w:t>
      </w:r>
      <w:r>
        <w:rPr>
          <w:color w:val="1F2329"/>
          <w:sz w:val="22"/>
          <w:szCs w:val="22"/>
          <w:bdr w:val="none" w:color="auto" w:sz="0" w:space="0"/>
        </w:rPr>
        <w:t>，ICIR&lt;0.2 时将因子权重下调至最低（基准权重 ×50%）；</w:t>
      </w:r>
    </w:p>
    <w:p w14:paraId="2B02DD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调仓成本扣分项：标的连续 2 周综合评分变化≤1 分，强行调仓则扣 0.5 分，减少频繁调仓带来的成本侵蚀。</w:t>
      </w:r>
    </w:p>
    <w:p w14:paraId="6F9D32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2. 决策矩阵（结合流通市值 + 综合评分）</w:t>
      </w:r>
    </w:p>
    <w:p w14:paraId="5BA4A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明确个股仓位上限、止损规则，所有标准均量化，无主观判断，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单一个股最高仓位不超过 30%，极端高分（≥9.5 分）大盘股不超过 40%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，高相关行业累计仓位≤60%（高景气行业≤70%）。</w:t>
      </w:r>
    </w:p>
    <w:p w14:paraId="083D3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9"/>
        <w:gridCol w:w="561"/>
        <w:gridCol w:w="1260"/>
        <w:gridCol w:w="1347"/>
        <w:gridCol w:w="1277"/>
        <w:gridCol w:w="3162"/>
      </w:tblGrid>
      <w:tr w14:paraId="0A5D534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769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综合评分区间</w:t>
            </w:r>
          </w:p>
        </w:tc>
        <w:tc>
          <w:tcPr>
            <w:tcW w:w="0" w:type="auto"/>
            <w:shd w:val="clear"/>
            <w:vAlign w:val="center"/>
          </w:tcPr>
          <w:p w14:paraId="696DD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操作建议</w:t>
            </w:r>
          </w:p>
        </w:tc>
        <w:tc>
          <w:tcPr>
            <w:tcW w:w="0" w:type="auto"/>
            <w:shd w:val="clear"/>
            <w:vAlign w:val="center"/>
          </w:tcPr>
          <w:p w14:paraId="507AD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流通市值≥500 亿（大盘股）</w:t>
            </w:r>
          </w:p>
        </w:tc>
        <w:tc>
          <w:tcPr>
            <w:tcW w:w="0" w:type="auto"/>
            <w:shd w:val="clear"/>
            <w:vAlign w:val="center"/>
          </w:tcPr>
          <w:p w14:paraId="4E1D4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流通市值 100-500 亿（中盘股）</w:t>
            </w:r>
          </w:p>
        </w:tc>
        <w:tc>
          <w:tcPr>
            <w:tcW w:w="0" w:type="auto"/>
            <w:shd w:val="clear"/>
            <w:vAlign w:val="center"/>
          </w:tcPr>
          <w:p w14:paraId="58D75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流通市值 &lt; 100 亿（小盘股）</w:t>
            </w:r>
          </w:p>
        </w:tc>
        <w:tc>
          <w:tcPr>
            <w:tcW w:w="0" w:type="auto"/>
            <w:shd w:val="clear"/>
            <w:vAlign w:val="center"/>
          </w:tcPr>
          <w:p w14:paraId="4D2A9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止损规则（固定百分比 + 60 日 ATR，取较高者）</w:t>
            </w:r>
          </w:p>
        </w:tc>
      </w:tr>
      <w:tr w14:paraId="5869A7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E8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≥8.5 分</w:t>
            </w:r>
          </w:p>
        </w:tc>
        <w:tc>
          <w:tcPr>
            <w:tcW w:w="0" w:type="auto"/>
            <w:shd w:val="clear"/>
            <w:vAlign w:val="center"/>
          </w:tcPr>
          <w:p w14:paraId="5ED89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重仓买入</w:t>
            </w:r>
          </w:p>
        </w:tc>
        <w:tc>
          <w:tcPr>
            <w:tcW w:w="0" w:type="auto"/>
            <w:shd w:val="clear"/>
            <w:vAlign w:val="center"/>
          </w:tcPr>
          <w:p w14:paraId="1DA6D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25%-30%</w:t>
            </w:r>
          </w:p>
        </w:tc>
        <w:tc>
          <w:tcPr>
            <w:tcW w:w="0" w:type="auto"/>
            <w:shd w:val="clear"/>
            <w:vAlign w:val="center"/>
          </w:tcPr>
          <w:p w14:paraId="6122B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20%-25%</w:t>
            </w:r>
          </w:p>
        </w:tc>
        <w:tc>
          <w:tcPr>
            <w:tcW w:w="0" w:type="auto"/>
            <w:shd w:val="clear"/>
            <w:vAlign w:val="center"/>
          </w:tcPr>
          <w:p w14:paraId="5A9E2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10%-15%</w:t>
            </w:r>
          </w:p>
        </w:tc>
        <w:tc>
          <w:tcPr>
            <w:tcW w:w="0" w:type="auto"/>
            <w:shd w:val="clear"/>
            <w:vAlign w:val="center"/>
          </w:tcPr>
          <w:p w14:paraId="3E732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成本价 ×(1-8%) 或 成本价 - 2×ATR</w:t>
            </w:r>
          </w:p>
        </w:tc>
      </w:tr>
      <w:tr w14:paraId="580FB7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0E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7.0-8.4 分</w:t>
            </w:r>
          </w:p>
        </w:tc>
        <w:tc>
          <w:tcPr>
            <w:tcW w:w="0" w:type="auto"/>
            <w:shd w:val="clear"/>
            <w:vAlign w:val="center"/>
          </w:tcPr>
          <w:p w14:paraId="4CAEA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积极建仓</w:t>
            </w:r>
          </w:p>
        </w:tc>
        <w:tc>
          <w:tcPr>
            <w:tcW w:w="0" w:type="auto"/>
            <w:shd w:val="clear"/>
            <w:vAlign w:val="center"/>
          </w:tcPr>
          <w:p w14:paraId="40EFC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20%-25%</w:t>
            </w:r>
          </w:p>
        </w:tc>
        <w:tc>
          <w:tcPr>
            <w:tcW w:w="0" w:type="auto"/>
            <w:shd w:val="clear"/>
            <w:vAlign w:val="center"/>
          </w:tcPr>
          <w:p w14:paraId="08BED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15%-20%</w:t>
            </w:r>
          </w:p>
        </w:tc>
        <w:tc>
          <w:tcPr>
            <w:tcW w:w="0" w:type="auto"/>
            <w:shd w:val="clear"/>
            <w:vAlign w:val="center"/>
          </w:tcPr>
          <w:p w14:paraId="0D98D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5%-10%</w:t>
            </w:r>
          </w:p>
        </w:tc>
        <w:tc>
          <w:tcPr>
            <w:tcW w:w="0" w:type="auto"/>
            <w:shd w:val="clear"/>
            <w:vAlign w:val="center"/>
          </w:tcPr>
          <w:p w14:paraId="4629B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成本价 ×(1-6%) 或 成本价 - 1.5×ATR</w:t>
            </w:r>
          </w:p>
        </w:tc>
      </w:tr>
      <w:tr w14:paraId="2A353E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8C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5.5-6.9 分</w:t>
            </w:r>
          </w:p>
        </w:tc>
        <w:tc>
          <w:tcPr>
            <w:tcW w:w="0" w:type="auto"/>
            <w:shd w:val="clear"/>
            <w:vAlign w:val="center"/>
          </w:tcPr>
          <w:p w14:paraId="1108B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试探性买入</w:t>
            </w:r>
          </w:p>
        </w:tc>
        <w:tc>
          <w:tcPr>
            <w:tcW w:w="0" w:type="auto"/>
            <w:shd w:val="clear"/>
            <w:vAlign w:val="center"/>
          </w:tcPr>
          <w:p w14:paraId="30149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15%-20%</w:t>
            </w:r>
          </w:p>
        </w:tc>
        <w:tc>
          <w:tcPr>
            <w:tcW w:w="0" w:type="auto"/>
            <w:shd w:val="clear"/>
            <w:vAlign w:val="center"/>
          </w:tcPr>
          <w:p w14:paraId="5CCEF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10%-15%</w:t>
            </w:r>
          </w:p>
        </w:tc>
        <w:tc>
          <w:tcPr>
            <w:tcW w:w="0" w:type="auto"/>
            <w:shd w:val="clear"/>
            <w:vAlign w:val="center"/>
          </w:tcPr>
          <w:p w14:paraId="2B3A8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3%-5%</w:t>
            </w:r>
          </w:p>
        </w:tc>
        <w:tc>
          <w:tcPr>
            <w:tcW w:w="0" w:type="auto"/>
            <w:shd w:val="clear"/>
            <w:vAlign w:val="center"/>
          </w:tcPr>
          <w:p w14:paraId="65FAE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成本价 ×(1-5%) 或 成本价 - 1×ATR</w:t>
            </w:r>
          </w:p>
        </w:tc>
      </w:tr>
      <w:tr w14:paraId="609414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C0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4.0-5.4 分</w:t>
            </w:r>
          </w:p>
        </w:tc>
        <w:tc>
          <w:tcPr>
            <w:tcW w:w="0" w:type="auto"/>
            <w:shd w:val="clear"/>
            <w:vAlign w:val="center"/>
          </w:tcPr>
          <w:p w14:paraId="7961D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持有或观望</w:t>
            </w:r>
          </w:p>
        </w:tc>
        <w:tc>
          <w:tcPr>
            <w:tcW w:w="0" w:type="auto"/>
            <w:shd w:val="clear"/>
            <w:vAlign w:val="center"/>
          </w:tcPr>
          <w:p w14:paraId="29D4F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0-10%</w:t>
            </w:r>
          </w:p>
        </w:tc>
        <w:tc>
          <w:tcPr>
            <w:tcW w:w="0" w:type="auto"/>
            <w:shd w:val="clear"/>
            <w:vAlign w:val="center"/>
          </w:tcPr>
          <w:p w14:paraId="42AE3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0-8%</w:t>
            </w:r>
          </w:p>
        </w:tc>
        <w:tc>
          <w:tcPr>
            <w:tcW w:w="0" w:type="auto"/>
            <w:shd w:val="clear"/>
            <w:vAlign w:val="center"/>
          </w:tcPr>
          <w:p w14:paraId="203DB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0-3%</w:t>
            </w:r>
          </w:p>
        </w:tc>
        <w:tc>
          <w:tcPr>
            <w:tcW w:w="0" w:type="auto"/>
            <w:shd w:val="clear"/>
            <w:vAlign w:val="center"/>
          </w:tcPr>
          <w:p w14:paraId="77D76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浮盈≥5%：止损上移至浮盈 1%浮盈 0-5%：止损为成本价浮亏≤3%：执行初始止损浮亏 &gt; 3%：立即清仓</w:t>
            </w:r>
          </w:p>
        </w:tc>
      </w:tr>
      <w:tr w14:paraId="78ED5B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A5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&lt;4.0 分</w:t>
            </w:r>
          </w:p>
        </w:tc>
        <w:tc>
          <w:tcPr>
            <w:tcW w:w="0" w:type="auto"/>
            <w:shd w:val="clear"/>
            <w:vAlign w:val="center"/>
          </w:tcPr>
          <w:p w14:paraId="5F16F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坚决回避 / 清仓</w:t>
            </w:r>
          </w:p>
        </w:tc>
        <w:tc>
          <w:tcPr>
            <w:tcW w:w="0" w:type="auto"/>
            <w:shd w:val="clear"/>
            <w:vAlign w:val="center"/>
          </w:tcPr>
          <w:p w14:paraId="0AA6D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50DF3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01445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3C47C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无，直接排除 / 清仓</w:t>
            </w:r>
          </w:p>
        </w:tc>
      </w:tr>
    </w:tbl>
    <w:p w14:paraId="19ED3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3. 行业仓位控制规则</w:t>
      </w:r>
    </w:p>
    <w:p w14:paraId="1AF7394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行业相关性计算：采用申万一级行业指数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过去 60 个交易日收益率</w:t>
      </w:r>
      <w:r>
        <w:rPr>
          <w:color w:val="1F2329"/>
          <w:sz w:val="22"/>
          <w:szCs w:val="22"/>
          <w:bdr w:val="none" w:color="auto" w:sz="0" w:space="0"/>
        </w:rPr>
        <w:t>计算相关系数矩阵，相关系数 &gt; 0.7 的行业视为高相关；</w:t>
      </w:r>
    </w:p>
    <w:p w14:paraId="1B761D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累计仓位限制：高相关行业累计仓位≤60%，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高景气行业</w:t>
      </w:r>
      <w:r>
        <w:rPr>
          <w:color w:val="1F2329"/>
          <w:sz w:val="22"/>
          <w:szCs w:val="22"/>
          <w:bdr w:val="none" w:color="auto" w:sz="0" w:space="0"/>
        </w:rPr>
        <w:t>（行业净利润增速≥20%、基金持仓占比环比提升≥5%）累计仓位可放宽至 70%；</w:t>
      </w:r>
    </w:p>
    <w:p w14:paraId="1A1E20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单行业仓位上限：单一行业仓位不超过总资金的 40%，避免行业黑天鹅导致的大幅回撤。</w:t>
      </w:r>
    </w:p>
    <w:p w14:paraId="20A4F6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四、买卖点精细化信号（增强版）</w:t>
      </w:r>
    </w:p>
    <w:p w14:paraId="15067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当综合评分达到建仓标准后，通过以下信号确认具体入场 / 出场时机，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降低信号门槛，适配趋势与震荡行情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，分核心信号与辅助信号，避免假信号误判。</w:t>
      </w:r>
    </w:p>
    <w:p w14:paraId="13B81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1. 买入信号组合（需同时满足至少 2 项，核心信号优先）</w:t>
      </w:r>
    </w:p>
    <w:p w14:paraId="79F3B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核心信号（二选一）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</w:t>
      </w:r>
    </w:p>
    <w:p w14:paraId="0A88DB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K 线反转形态：锤头线、看涨吞没、早晨之星；</w:t>
      </w:r>
    </w:p>
    <w:p w14:paraId="1F7EFE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K 线趋势形态：股价站上 MA20、均线多头排列、股价突破前期平台。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辅助信号</w:t>
      </w:r>
      <w:r>
        <w:rPr>
          <w:color w:val="1F2329"/>
          <w:sz w:val="22"/>
          <w:szCs w:val="22"/>
          <w:bdr w:val="none" w:color="auto" w:sz="0" w:space="0"/>
        </w:rPr>
        <w:t>：</w:t>
      </w:r>
    </w:p>
    <w:p w14:paraId="1B4CD8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成交量信号：量比 &gt; 1.5，且换手率 3%-8%；</w:t>
      </w:r>
    </w:p>
    <w:p w14:paraId="0019DE0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KDJ 信号：日线 KDJ 在超卖区（&lt;20）金叉或即将金叉；</w:t>
      </w:r>
    </w:p>
    <w:p w14:paraId="4531E7D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RSI 信号：RSI (6)&lt;30 后向上突破 30；</w:t>
      </w:r>
    </w:p>
    <w:p w14:paraId="319484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CCI 信号：CCI 从 - 100 以下上穿 - 100；</w:t>
      </w:r>
    </w:p>
    <w:p w14:paraId="104671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神奇九转：出现 “低 9” 信号（强化，可抵 1 项辅助信号）。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最佳买入点</w:t>
      </w:r>
      <w:r>
        <w:rPr>
          <w:color w:val="1F2329"/>
          <w:sz w:val="22"/>
          <w:szCs w:val="22"/>
          <w:bdr w:val="none" w:color="auto" w:sz="0" w:space="0"/>
        </w:rPr>
        <w:t>：股价放量突破关键阻力位（MA5、MA10、前期平台），且资金因子得分≥7 分时。</w:t>
      </w:r>
    </w:p>
    <w:p w14:paraId="4E50AA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2. 卖出信号组合（需同时满足至少 2 项，核心组合立即卖出）</w:t>
      </w:r>
    </w:p>
    <w:p w14:paraId="744E2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核心组合（二者同时满足立即卖出，最高优先级）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：</w:t>
      </w:r>
    </w:p>
    <w:p w14:paraId="61330B4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筹码松动（专业版：集中度变化 &gt; 10%+ 底部筹码峰上移≥20%；散户版：股东户数连 2 周增加≥5%+(大单 - 小单) 净流入连 2 日为负）；</w:t>
      </w:r>
    </w:p>
    <w:p w14:paraId="3987C95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主力流出：超大单（专业版）/(大单 - 小单)（散户版）连续 3 日净流出。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辅助信号</w:t>
      </w:r>
      <w:r>
        <w:rPr>
          <w:color w:val="1F2329"/>
          <w:sz w:val="22"/>
          <w:szCs w:val="22"/>
          <w:bdr w:val="none" w:color="auto" w:sz="0" w:space="0"/>
        </w:rPr>
        <w:t>：</w:t>
      </w:r>
    </w:p>
    <w:p w14:paraId="2FC4617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OBV 背离：股价创新高，OBV 未创新高；</w:t>
      </w:r>
    </w:p>
    <w:p w14:paraId="753E25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K 线信号：出现吊颈线、看跌吞没、黄昏之星；</w:t>
      </w:r>
    </w:p>
    <w:p w14:paraId="51D112C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KDJ 信号：日线 KDJ 在超买区（&gt;80）死叉；</w:t>
      </w:r>
    </w:p>
    <w:p w14:paraId="3A67A1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融资余额：股价高位（涨幅≥30%），融资余额暴增后下降≥5%；</w:t>
      </w:r>
    </w:p>
    <w:p w14:paraId="095AAF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神奇九转：出现 “高 9” 信号（强化，可抵 1 项辅助信号）。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最佳卖出点</w:t>
      </w:r>
      <w:r>
        <w:rPr>
          <w:color w:val="1F2329"/>
          <w:sz w:val="22"/>
          <w:szCs w:val="22"/>
          <w:bdr w:val="none" w:color="auto" w:sz="0" w:space="0"/>
        </w:rPr>
        <w:t>：股价放量滞涨或跌破关键支撑位（MA5、MA10、前期平台），且资金因子得分 &lt; 5 分时。</w:t>
      </w:r>
    </w:p>
    <w:p w14:paraId="62792F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3. 移动止损进阶规则</w:t>
      </w:r>
    </w:p>
    <w:p w14:paraId="0AA43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盈利后逐步上移止损，锁定收益，避免 “浮盈变浮亏”：</w:t>
      </w:r>
    </w:p>
    <w:p w14:paraId="301FA5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盈利≥10%：将止损上移至成本价，实现 “保本止损”；</w:t>
      </w:r>
    </w:p>
    <w:p w14:paraId="44F8B75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盈利≥20%：启用 10 日均线或 SAR 指标作为动态止损，跌破则立即卖出；</w:t>
      </w:r>
    </w:p>
    <w:p w14:paraId="27632C1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盈利≥50%：减半仓后，剩余仓位启用 20 日均线动态止损，保留趋势收益。</w:t>
      </w:r>
    </w:p>
    <w:p w14:paraId="37B960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五、风险控制与执行纪律</w:t>
      </w:r>
    </w:p>
    <w:p w14:paraId="315A9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构建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仓位管理、止损制度、复盘制度、情绪熔断、黑天鹅应急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的全流程风险控制体系，所有规则均量化可执行，直击实战中情绪化操作、扛亏、踩雷等痛点。</w:t>
      </w:r>
    </w:p>
    <w:p w14:paraId="2C196C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5.1 仓位管理补充规则</w:t>
      </w:r>
    </w:p>
    <w:p w14:paraId="4F7E0F2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资金规模适配：资金规模 &lt;100 万的投资者，持仓标的数量控制在 3-5 只；资金规模 100-500 万，控制在 5-8 只；资金规模&gt; 500 万，控制在 8-10 只，避免分散度过高 / 过低；</w:t>
      </w:r>
    </w:p>
    <w:p w14:paraId="7F05D3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调仓频率限制：单月最大调仓次数不超过 5 次，减少交易成本（佣金、印花税、滑点）对收益的侵蚀；</w:t>
      </w:r>
    </w:p>
    <w:p w14:paraId="7044A98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新开仓限制：当日新开仓标的数量不超过 2 只，避免单日集中建仓导致的风险集中。</w:t>
      </w:r>
    </w:p>
    <w:p w14:paraId="4DFCCC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5.2 止损制度执行要求</w:t>
      </w:r>
    </w:p>
    <w:p w14:paraId="48B5C1D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硬性止损：所有建仓标的必须预设止损位，到达止损位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立即无条件卖出</w:t>
      </w:r>
      <w:r>
        <w:rPr>
          <w:color w:val="1F2329"/>
          <w:sz w:val="22"/>
          <w:szCs w:val="22"/>
          <w:bdr w:val="none" w:color="auto" w:sz="0" w:space="0"/>
        </w:rPr>
        <w:t>，不允许 “扛亏” 或修改止损位；</w:t>
      </w:r>
    </w:p>
    <w:p w14:paraId="6560140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分批止损：重仓标的（仓位≥20%）可采用分批止损，首次止损 50% 仓位，剩余仓位跌破二次支撑位则全部卖出；</w:t>
      </w:r>
    </w:p>
    <w:p w14:paraId="07DB960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止损豁免：标的因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系统性黑天鹅（如大盘跌停、行业政策利空）</w:t>
      </w:r>
      <w:r>
        <w:rPr>
          <w:color w:val="1F2329"/>
          <w:sz w:val="22"/>
          <w:szCs w:val="22"/>
          <w:bdr w:val="none" w:color="auto" w:sz="0" w:space="0"/>
        </w:rPr>
        <w:t xml:space="preserve"> 触发止损，可暂停止损，待市场企稳后重新评估。</w:t>
      </w:r>
    </w:p>
    <w:p w14:paraId="54E68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5.3 标准化复盘制度</w:t>
      </w:r>
    </w:p>
    <w:p w14:paraId="3DCF6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按日 / 周 / 月 / 季度分级复盘，记录数据、分析信号失效原因，持续优化模型，复盘结果需形成书面记录，便于后续迭代。</w:t>
      </w:r>
    </w:p>
    <w:p w14:paraId="2756F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"/>
        <w:gridCol w:w="4501"/>
        <w:gridCol w:w="2799"/>
      </w:tblGrid>
      <w:tr w14:paraId="1F18BAD8">
        <w:trPr>
          <w:tblHeader/>
          <w:tblCellSpacing w:w="15" w:type="dxa"/>
        </w:trPr>
        <w:tc>
          <w:tcPr>
            <w:tcW w:w="1021" w:type="dxa"/>
            <w:shd w:val="clear"/>
            <w:vAlign w:val="center"/>
          </w:tcPr>
          <w:p w14:paraId="79B01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复盘周期</w:t>
            </w:r>
          </w:p>
        </w:tc>
        <w:tc>
          <w:tcPr>
            <w:tcW w:w="4471" w:type="dxa"/>
            <w:shd w:val="clear"/>
            <w:vAlign w:val="center"/>
          </w:tcPr>
          <w:p w14:paraId="63E32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复盘内容</w:t>
            </w:r>
          </w:p>
        </w:tc>
        <w:tc>
          <w:tcPr>
            <w:tcW w:w="0" w:type="auto"/>
            <w:shd w:val="clear"/>
            <w:vAlign w:val="center"/>
          </w:tcPr>
          <w:p w14:paraId="431A0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核心目标</w:t>
            </w:r>
          </w:p>
        </w:tc>
      </w:tr>
      <w:tr w14:paraId="6FC1922E">
        <w:trPr>
          <w:tblCellSpacing w:w="15" w:type="dxa"/>
        </w:trPr>
        <w:tc>
          <w:tcPr>
            <w:tcW w:w="1021" w:type="dxa"/>
            <w:shd w:val="clear"/>
            <w:vAlign w:val="center"/>
          </w:tcPr>
          <w:p w14:paraId="2DAEC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每日复盘</w:t>
            </w:r>
          </w:p>
        </w:tc>
        <w:tc>
          <w:tcPr>
            <w:tcW w:w="4471" w:type="dxa"/>
            <w:shd w:val="clear"/>
            <w:vAlign w:val="center"/>
          </w:tcPr>
          <w:p w14:paraId="6D127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更新持仓股资金因子得分，检查止损位，判断资金异动，记录买卖点信号变化</w:t>
            </w:r>
          </w:p>
        </w:tc>
        <w:tc>
          <w:tcPr>
            <w:tcW w:w="0" w:type="auto"/>
            <w:shd w:val="clear"/>
            <w:vAlign w:val="center"/>
          </w:tcPr>
          <w:p w14:paraId="31652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及时发现主力资金动向，避免错过止盈 / 止损时机</w:t>
            </w:r>
          </w:p>
        </w:tc>
      </w:tr>
      <w:tr w14:paraId="6471EFE2">
        <w:trPr>
          <w:tblCellSpacing w:w="15" w:type="dxa"/>
        </w:trPr>
        <w:tc>
          <w:tcPr>
            <w:tcW w:w="1021" w:type="dxa"/>
            <w:shd w:val="clear"/>
            <w:vAlign w:val="center"/>
          </w:tcPr>
          <w:p w14:paraId="51745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每周复盘</w:t>
            </w:r>
          </w:p>
        </w:tc>
        <w:tc>
          <w:tcPr>
            <w:tcW w:w="4471" w:type="dxa"/>
            <w:shd w:val="clear"/>
            <w:vAlign w:val="center"/>
          </w:tcPr>
          <w:p w14:paraId="439B0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评估市场因子归一化得分，调整整体仓位上限，匹配市场风格，检查行业仓位集中度</w:t>
            </w:r>
          </w:p>
        </w:tc>
        <w:tc>
          <w:tcPr>
            <w:tcW w:w="0" w:type="auto"/>
            <w:shd w:val="clear"/>
            <w:vAlign w:val="center"/>
          </w:tcPr>
          <w:p w14:paraId="543F6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适配市场情绪与风格变化，控制行业仓位风险</w:t>
            </w:r>
          </w:p>
        </w:tc>
      </w:tr>
      <w:tr w14:paraId="169A2563">
        <w:trPr>
          <w:tblCellSpacing w:w="15" w:type="dxa"/>
        </w:trPr>
        <w:tc>
          <w:tcPr>
            <w:tcW w:w="1021" w:type="dxa"/>
            <w:shd w:val="clear"/>
            <w:vAlign w:val="center"/>
          </w:tcPr>
          <w:p w14:paraId="32C18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每月复盘</w:t>
            </w:r>
          </w:p>
        </w:tc>
        <w:tc>
          <w:tcPr>
            <w:tcW w:w="4471" w:type="dxa"/>
            <w:shd w:val="clear"/>
            <w:vAlign w:val="center"/>
          </w:tcPr>
          <w:p w14:paraId="331A8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更新价值因子得分与核心股票池，计算因子两两相关系数，剔除基本面瑕疵标的</w:t>
            </w:r>
          </w:p>
        </w:tc>
        <w:tc>
          <w:tcPr>
            <w:tcW w:w="0" w:type="auto"/>
            <w:shd w:val="clear"/>
            <w:vAlign w:val="center"/>
          </w:tcPr>
          <w:p w14:paraId="79E79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优化股票池质量，确保因子独立性</w:t>
            </w:r>
          </w:p>
        </w:tc>
      </w:tr>
      <w:tr w14:paraId="6A2A0CB3">
        <w:trPr>
          <w:tblCellSpacing w:w="15" w:type="dxa"/>
        </w:trPr>
        <w:tc>
          <w:tcPr>
            <w:tcW w:w="1021" w:type="dxa"/>
            <w:shd w:val="clear"/>
            <w:vAlign w:val="center"/>
          </w:tcPr>
          <w:p w14:paraId="57A66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每季度复盘</w:t>
            </w:r>
          </w:p>
        </w:tc>
        <w:tc>
          <w:tcPr>
            <w:tcW w:w="4471" w:type="dxa"/>
            <w:shd w:val="clear"/>
            <w:vAlign w:val="center"/>
          </w:tcPr>
          <w:p w14:paraId="5C4DB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计算各因子 ICIR，调整动态权重，回测模型核心指标（胜率、盈亏比等），优化指标阈值</w:t>
            </w:r>
          </w:p>
        </w:tc>
        <w:tc>
          <w:tcPr>
            <w:tcW w:w="0" w:type="auto"/>
            <w:shd w:val="clear"/>
            <w:vAlign w:val="center"/>
          </w:tcPr>
          <w:p w14:paraId="510C1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提升模型对市场的适配性，验证模型有效性</w:t>
            </w:r>
          </w:p>
        </w:tc>
      </w:tr>
    </w:tbl>
    <w:p w14:paraId="0F84B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5.4 量化情绪熔断机制</w:t>
      </w:r>
    </w:p>
    <w:p w14:paraId="65595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当出现以下情况时，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立即暂停交易 3 个交易日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，冷静审视市场与操作，避免情绪化交易导致的连续亏损，熔断期间仅执行止损，不新开仓：</w:t>
      </w:r>
    </w:p>
    <w:p w14:paraId="70D89FA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连续 3 笔交易触及硬性止损；</w:t>
      </w:r>
    </w:p>
    <w:p w14:paraId="6A6CEC4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单月账户回撤超过 10%；</w:t>
      </w:r>
    </w:p>
    <w:p w14:paraId="6A05A96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全 A 跌停家数≥50 家，或市场出现重大政策 / 宏观黑天鹅；</w:t>
      </w:r>
    </w:p>
    <w:p w14:paraId="76A20E5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个人账户单日亏损≥5%，且大盘单日跌幅≥3%。</w:t>
      </w:r>
    </w:p>
    <w:p w14:paraId="1E2E4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5.5 黑天鹅应急剔除机制</w:t>
      </w:r>
    </w:p>
    <w:p w14:paraId="180F8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建立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标的风险预警库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，实时监控标的基本面与市场风险，出现以下任一情况，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立即从股票池剔除并清仓持仓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，无需等待综合评分更新：</w:t>
      </w:r>
    </w:p>
    <w:p w14:paraId="2AD0961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业绩预告 / 快报显示净利润亏损≥50%，或同比下滑≥100%；</w:t>
      </w:r>
    </w:p>
    <w:p w14:paraId="13A56F7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被证监会立案调查、出具警示函，或实施退市风险警示（*ST/**ST）；</w:t>
      </w:r>
    </w:p>
    <w:p w14:paraId="33626FB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发生重大安全事故、重大诉讼仲裁，或实控人失联 / 违规减持≥5%；</w:t>
      </w:r>
    </w:p>
    <w:p w14:paraId="769319D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连续 3 个交易日跌停，或日均成交额骤降≥80%（流动性枯竭）；</w:t>
      </w:r>
    </w:p>
    <w:p w14:paraId="191A3C3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行业出台重大利空政策，导致行业景气度大幅下滑（如业绩增速从≥20% 降至 &lt; 0%）。</w:t>
      </w:r>
    </w:p>
    <w:p w14:paraId="54BF1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六、模型回测体系</w:t>
      </w:r>
    </w:p>
    <w:p w14:paraId="7E7C4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量化模型的实战性需通过标准化回测验证，明确回测参数、核心考核指标，回测结果未达标则重新优化指标阈值与权重，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回测周期至少覆盖 5 年（包含牛市、震荡市、熊市）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，优先选择 2018-2024 年（多轮风格切换）。</w:t>
      </w:r>
    </w:p>
    <w:p w14:paraId="08D911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6.1 核心回测参数</w:t>
      </w:r>
    </w:p>
    <w:p w14:paraId="4E824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"/>
        <w:gridCol w:w="4041"/>
        <w:gridCol w:w="3535"/>
      </w:tblGrid>
      <w:tr w14:paraId="2718485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EB1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回测维度</w:t>
            </w:r>
          </w:p>
        </w:tc>
        <w:tc>
          <w:tcPr>
            <w:tcW w:w="0" w:type="auto"/>
            <w:shd w:val="clear"/>
            <w:vAlign w:val="center"/>
          </w:tcPr>
          <w:p w14:paraId="2B680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参数标准</w:t>
            </w:r>
          </w:p>
        </w:tc>
        <w:tc>
          <w:tcPr>
            <w:tcW w:w="0" w:type="auto"/>
            <w:shd w:val="clear"/>
            <w:vAlign w:val="center"/>
          </w:tcPr>
          <w:p w14:paraId="72F65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4BF5D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86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标的池</w:t>
            </w:r>
          </w:p>
        </w:tc>
        <w:tc>
          <w:tcPr>
            <w:tcW w:w="0" w:type="auto"/>
            <w:shd w:val="clear"/>
            <w:vAlign w:val="center"/>
          </w:tcPr>
          <w:p w14:paraId="22FE6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 股主板、科创板、创业板，流通市值≥50 亿、日均成交额≥1 亿</w:t>
            </w:r>
          </w:p>
        </w:tc>
        <w:tc>
          <w:tcPr>
            <w:tcW w:w="0" w:type="auto"/>
            <w:shd w:val="clear"/>
            <w:vAlign w:val="center"/>
          </w:tcPr>
          <w:p w14:paraId="18209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剔除流动性不足、ST/*ST、停牌超 1 个月的标的</w:t>
            </w:r>
          </w:p>
        </w:tc>
      </w:tr>
      <w:tr w14:paraId="3C9D98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ED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交易成本</w:t>
            </w:r>
          </w:p>
        </w:tc>
        <w:tc>
          <w:tcPr>
            <w:tcW w:w="0" w:type="auto"/>
            <w:shd w:val="clear"/>
            <w:vAlign w:val="center"/>
          </w:tcPr>
          <w:p w14:paraId="3F106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佣金万分之 2.5 + 印花税千分之 1（卖出） + 滑点</w:t>
            </w:r>
          </w:p>
        </w:tc>
        <w:tc>
          <w:tcPr>
            <w:tcW w:w="0" w:type="auto"/>
            <w:shd w:val="clear"/>
            <w:vAlign w:val="center"/>
          </w:tcPr>
          <w:p w14:paraId="2EBAF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小盘股滑点千分之 2，中 / 大盘股滑点千分之 1</w:t>
            </w:r>
          </w:p>
        </w:tc>
      </w:tr>
      <w:tr w14:paraId="1FEB48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3B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调仓频率</w:t>
            </w:r>
          </w:p>
        </w:tc>
        <w:tc>
          <w:tcPr>
            <w:tcW w:w="0" w:type="auto"/>
            <w:shd w:val="clear"/>
            <w:vAlign w:val="center"/>
          </w:tcPr>
          <w:p w14:paraId="06800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价值因子月度调仓、市场因子周度调仓、资金因子日线调仓</w:t>
            </w:r>
          </w:p>
        </w:tc>
        <w:tc>
          <w:tcPr>
            <w:tcW w:w="0" w:type="auto"/>
            <w:shd w:val="clear"/>
            <w:vAlign w:val="center"/>
          </w:tcPr>
          <w:p w14:paraId="65007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综合评分≥5.5 分才触发调仓，避免无效调仓</w:t>
            </w:r>
          </w:p>
        </w:tc>
      </w:tr>
      <w:tr w14:paraId="55E4AE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F3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仓位规则</w:t>
            </w:r>
          </w:p>
        </w:tc>
        <w:tc>
          <w:tcPr>
            <w:tcW w:w="0" w:type="auto"/>
            <w:shd w:val="clear"/>
            <w:vAlign w:val="center"/>
          </w:tcPr>
          <w:p w14:paraId="3CB28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严格遵循决策矩阵的仓位上限与行业仓位控制</w:t>
            </w:r>
          </w:p>
        </w:tc>
        <w:tc>
          <w:tcPr>
            <w:tcW w:w="0" w:type="auto"/>
            <w:shd w:val="clear"/>
            <w:vAlign w:val="center"/>
          </w:tcPr>
          <w:p w14:paraId="102C3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单一个股 / 行业仓位不超限，高相关行业累计仓位≤60%</w:t>
            </w:r>
          </w:p>
        </w:tc>
      </w:tr>
      <w:tr w14:paraId="106171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30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止损 / 止盈</w:t>
            </w:r>
          </w:p>
        </w:tc>
        <w:tc>
          <w:tcPr>
            <w:tcW w:w="0" w:type="auto"/>
            <w:shd w:val="clear"/>
            <w:vAlign w:val="center"/>
          </w:tcPr>
          <w:p w14:paraId="31DCB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严格执行模型预设的止损规则，移动止损按盈利幅度上移</w:t>
            </w:r>
          </w:p>
        </w:tc>
        <w:tc>
          <w:tcPr>
            <w:tcW w:w="0" w:type="auto"/>
            <w:shd w:val="clear"/>
            <w:vAlign w:val="center"/>
          </w:tcPr>
          <w:p w14:paraId="2DBFC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到达止损位立即卖出，不做主观干预</w:t>
            </w:r>
          </w:p>
        </w:tc>
      </w:tr>
    </w:tbl>
    <w:p w14:paraId="2C16B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6.2 核心考核指标（达标标准）</w:t>
      </w:r>
    </w:p>
    <w:p w14:paraId="7AE92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回测模型需同时满足以下达标标准，未达标则针对低分项优化参数（如调整指标阈值、动态权重）：</w:t>
      </w:r>
    </w:p>
    <w:p w14:paraId="2B64F0A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胜率：≥60%（中短期波段核心指标）；</w:t>
      </w:r>
    </w:p>
    <w:p w14:paraId="005667D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盈亏比：≥2:1（盈利平均幅度≥亏损平均幅度 2 倍）；</w:t>
      </w:r>
    </w:p>
    <w:p w14:paraId="74C4675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年化收益率：≥15%（跑赢主流指数与理财收益）；</w:t>
      </w:r>
    </w:p>
    <w:p w14:paraId="17C5DB7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最大回撤：≤20%（控制极端风险，适配散户风险承受能力）；</w:t>
      </w:r>
    </w:p>
    <w:p w14:paraId="53B10C9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夏普比率：≥1.2（衡量风险调整后收益）；</w:t>
      </w:r>
    </w:p>
    <w:p w14:paraId="2897E18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卡玛比率：≥1.5（最大回撤与年化收益的比值，核心考核指标）。</w:t>
      </w:r>
    </w:p>
    <w:p w14:paraId="4E2126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七、模型局限性与迭代计划</w:t>
      </w:r>
    </w:p>
    <w:p w14:paraId="0972C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7.1 模型局限性</w:t>
      </w:r>
    </w:p>
    <w:p w14:paraId="1DE1CB4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对突发性宏观政策变化、跨市场黑天鹅（如海外股市暴跌）的反应仍存在滞后性；</w:t>
      </w:r>
    </w:p>
    <w:p w14:paraId="563A999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极端单边市（如连续涨停 / 跌停）中，部分资金因子指标仍可能失真，需人工辅助判断；</w:t>
      </w:r>
    </w:p>
    <w:p w14:paraId="5066C45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散户版模型依赖公开数据，部分指标（如股东户数）更新频率为周度 / 月度，存在一定数据滞后；</w:t>
      </w:r>
    </w:p>
    <w:p w14:paraId="7061B5C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行业景气度判断依赖财务数据，部分新兴行业（如 AI、算力）的财务数据无法及时反映行业真实景气度。</w:t>
      </w:r>
    </w:p>
    <w:p w14:paraId="52D8E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7.2 迭代计划</w:t>
      </w:r>
    </w:p>
    <w:p w14:paraId="6A5C5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在现有修订版基础上，按 V1.1-V1.3 分阶段迭代，提升模型自动化、精细化、多周期适配性：</w:t>
      </w:r>
    </w:p>
    <w:p w14:paraId="4780FD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1F2329"/>
          <w:sz w:val="22"/>
          <w:szCs w:val="22"/>
        </w:rPr>
      </w:pP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V1.1</w:t>
      </w:r>
      <w:r>
        <w:rPr>
          <w:color w:val="1F2329"/>
          <w:sz w:val="22"/>
          <w:szCs w:val="22"/>
          <w:bdr w:val="none" w:color="auto" w:sz="0" w:space="0"/>
        </w:rPr>
        <w:t>：开发 Python 自动化数据抓取与评分工具，实现因子得分、综合评分、仓位监控的自动化计算，包含实时风险预警、因子评分可视化功能；优化 ICIR 动态权重计算逻辑，提升权重调整的精准性。</w:t>
      </w:r>
    </w:p>
    <w:p w14:paraId="53A8DA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1F2329"/>
          <w:sz w:val="22"/>
          <w:szCs w:val="22"/>
        </w:rPr>
      </w:pP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V1.2</w:t>
      </w:r>
      <w:r>
        <w:rPr>
          <w:color w:val="1F2329"/>
          <w:sz w:val="22"/>
          <w:szCs w:val="22"/>
          <w:bdr w:val="none" w:color="auto" w:sz="0" w:space="0"/>
        </w:rPr>
        <w:t>：增加行业轮动因子（结合行业景气度、资金流入、基金持仓），识别结构性行业机会；优化新兴行业估值与景气度判断指标，引入行业产业链数据补充财务数据。</w:t>
      </w:r>
    </w:p>
    <w:p w14:paraId="18C28A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1F2329"/>
          <w:sz w:val="22"/>
          <w:szCs w:val="22"/>
        </w:rPr>
      </w:pP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V1.3</w:t>
      </w:r>
      <w:r>
        <w:rPr>
          <w:color w:val="1F2329"/>
          <w:sz w:val="22"/>
          <w:szCs w:val="22"/>
          <w:bdr w:val="none" w:color="auto" w:sz="0" w:space="0"/>
        </w:rPr>
        <w:t>：开发多周期版本（日线 / 周线模型），主模型（日线）与子模型（周线）协同，避免短周期信号与长周期信号冲突；增加择时因子，进一步优化买卖点信号，提升实战胜率。</w:t>
      </w:r>
    </w:p>
    <w:p w14:paraId="22B05F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1F2329"/>
          <w:sz w:val="22"/>
          <w:szCs w:val="22"/>
        </w:rPr>
      </w:pP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V2.0</w:t>
      </w:r>
      <w:r>
        <w:rPr>
          <w:color w:val="1F2329"/>
          <w:sz w:val="22"/>
          <w:szCs w:val="22"/>
          <w:bdr w:val="none" w:color="auto" w:sz="0" w:space="0"/>
        </w:rPr>
        <w:t>：引入机器学习算法，对因子指标进行非线性拟合，自动优化指标阈值与权重；整合量化择时与量化选股，实现全流程自动化交易，降低人工干预。</w:t>
      </w:r>
    </w:p>
    <w:p w14:paraId="767422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八、附录：指标计算与数据获取说明</w:t>
      </w:r>
    </w:p>
    <w:p w14:paraId="245691A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估值分位：行业 PE/PB 中位数从同花顺 / 东方财富行业板块获取，个股历史 10 年 PE/PB 从理杏仁、同花顺 iFinD 获取；</w:t>
      </w:r>
    </w:p>
    <w:p w14:paraId="53C4940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ROE / 经营现金流 / 资产负债率：从上市公司季度 / 年度财报（巨潮资讯网、同花顺）获取，取连续 3 年合并报表数据；</w:t>
      </w:r>
    </w:p>
    <w:p w14:paraId="29D6FA5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融资买入额占比 / 融资余额：东方财富数据中心 “融资融券” 板块，分主板 / 科创板查询；</w:t>
      </w:r>
    </w:p>
    <w:p w14:paraId="07EA744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Level-1/Level-2 数据：同花顺 / 通达信付费版（散户可选用免费 Level-1 数据，按散户版指标计算）；</w:t>
      </w:r>
    </w:p>
    <w:p w14:paraId="7345508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股东户数：上市公司公告、同花顺 / 东方财富 “个股资料 - 股东研究” 板块，周度 / 月度更新；</w:t>
      </w:r>
    </w:p>
    <w:p w14:paraId="32F2FFB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ATR（平均真实波幅）：同花顺 / 通达信自带指标，默认参数 60 日，可在软件中直接调取；</w:t>
      </w:r>
    </w:p>
    <w:p w14:paraId="29313C6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行业相关性 / 景气度：申万一级行业指数从同花顺获取，行业净利润增速 / 基金持仓占比从 Wind、同花顺 iFinD 获取；</w:t>
      </w:r>
    </w:p>
    <w:p w14:paraId="04C73F8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神奇九转 / OBV/KDJ/RSI/CCI：同花顺 / 通达信自带指标，默认参数不变，前复权后使用。</w:t>
      </w:r>
    </w:p>
    <w:p w14:paraId="70D868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九、修订说明</w:t>
      </w:r>
    </w:p>
    <w:p w14:paraId="302BE2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本次修订在 V2.1 基础上，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核心补充了价值因子的精准计算公式、市场因子的基础 + 信号双重筛选标准、资金因子的基础 + 信号双重筛选标准</w:t>
      </w:r>
      <w:r>
        <w:rPr>
          <w:rFonts w:ascii="宋体" w:hAnsi="宋体" w:eastAsia="宋体" w:cs="宋体"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，同时优化了各因子指标的计算细节与数据验证规则，核心修订点如下：</w:t>
      </w:r>
    </w:p>
    <w:p w14:paraId="0D33DC2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价值因子：为每个指标制定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可直接落地的精准计算公式</w:t>
      </w:r>
      <w:r>
        <w:rPr>
          <w:color w:val="1F2329"/>
          <w:sz w:val="22"/>
          <w:szCs w:val="22"/>
          <w:bdr w:val="none" w:color="auto" w:sz="0" w:space="0"/>
        </w:rPr>
        <w:t>，明确扣非净利润、合并报表等计算口径，避免数据计算偏差；</w:t>
      </w:r>
    </w:p>
    <w:p w14:paraId="0BCF6BC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市场因子：新增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基础阈值筛选标准</w:t>
      </w:r>
      <w:r>
        <w:rPr>
          <w:color w:val="1F2329"/>
          <w:sz w:val="22"/>
          <w:szCs w:val="22"/>
          <w:bdr w:val="none" w:color="auto" w:sz="0" w:space="0"/>
        </w:rPr>
        <w:t>（排除指标异常极值），结合原历史分位形成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双重筛选</w:t>
      </w:r>
      <w:r>
        <w:rPr>
          <w:color w:val="1F2329"/>
          <w:sz w:val="22"/>
          <w:szCs w:val="22"/>
          <w:bdr w:val="none" w:color="auto" w:sz="0" w:space="0"/>
        </w:rPr>
        <w:t>，提升信号有效性，明确风格因子与股票池的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70% 匹配度筛选规则</w:t>
      </w:r>
      <w:r>
        <w:rPr>
          <w:color w:val="1F2329"/>
          <w:sz w:val="22"/>
          <w:szCs w:val="22"/>
          <w:bdr w:val="none" w:color="auto" w:sz="0" w:space="0"/>
        </w:rPr>
        <w:t>；</w:t>
      </w:r>
    </w:p>
    <w:p w14:paraId="7049325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资金因子：新增</w:t>
      </w:r>
      <w:r>
        <w:rPr>
          <w:rStyle w:val="9"/>
          <w:b/>
          <w:bCs/>
          <w:color w:val="1F2329"/>
          <w:sz w:val="22"/>
          <w:szCs w:val="22"/>
          <w:bdr w:val="none" w:color="auto" w:sz="0" w:space="0"/>
        </w:rPr>
        <w:t>基础有效性筛选标准</w:t>
      </w:r>
      <w:r>
        <w:rPr>
          <w:color w:val="1F2329"/>
          <w:sz w:val="22"/>
          <w:szCs w:val="22"/>
          <w:bdr w:val="none" w:color="auto" w:sz="0" w:space="0"/>
        </w:rPr>
        <w:t>（排除数据失真、停牌 / 涨跌停干扰），与量化信号条件形成双重筛选，补充 Level-1/Level-2 资金单量的明确定义，统一计算口径；</w:t>
      </w:r>
    </w:p>
    <w:p w14:paraId="680F7B1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hanging="420" w:firstLineChars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全因子：所有筛选标准均与评分规则、操作建议强绑定，实现 “筛选 - 评分 - 决策” 的全链路量化，进一步降低主观判断空间。</w:t>
      </w:r>
    </w:p>
    <w:p w14:paraId="6DF71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22"/>
          <w:szCs w:val="22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2"/>
          <w:szCs w:val="22"/>
          <w:bdr w:val="none" w:color="auto" w:sz="0" w:space="0"/>
          <w:lang w:val="en-US" w:eastAsia="zh-CN" w:bidi="ar"/>
        </w:rPr>
        <w:t>本体系为量化投资工具，内容仅供参考，市场有风险，投资需谨慎。所有操作需严格遵循规则，避免主观臆断与情绪化交易。</w:t>
      </w:r>
    </w:p>
    <w:p w14:paraId="2E2CE4BB">
      <w:pPr>
        <w:rPr>
          <w:sz w:val="10"/>
          <w:szCs w:val="13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7DDFA"/>
    <w:multiLevelType w:val="singleLevel"/>
    <w:tmpl w:val="8FB7DDF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FD90A81"/>
    <w:multiLevelType w:val="singleLevel"/>
    <w:tmpl w:val="8FD90A8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FEFCF6F"/>
    <w:multiLevelType w:val="singleLevel"/>
    <w:tmpl w:val="9FEFCF6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FFAAD83"/>
    <w:multiLevelType w:val="singleLevel"/>
    <w:tmpl w:val="9FFAAD8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BFD76A9"/>
    <w:multiLevelType w:val="singleLevel"/>
    <w:tmpl w:val="ABFD76A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B3F5EC2"/>
    <w:multiLevelType w:val="singleLevel"/>
    <w:tmpl w:val="BB3F5EC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BDDE9BEE"/>
    <w:multiLevelType w:val="singleLevel"/>
    <w:tmpl w:val="BDDE9BE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BFF3E960"/>
    <w:multiLevelType w:val="singleLevel"/>
    <w:tmpl w:val="BFF3E9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BCBDA41"/>
    <w:multiLevelType w:val="singleLevel"/>
    <w:tmpl w:val="CBCBDA4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B6FC42B"/>
    <w:multiLevelType w:val="singleLevel"/>
    <w:tmpl w:val="EB6FC42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9BE1206"/>
    <w:multiLevelType w:val="singleLevel"/>
    <w:tmpl w:val="F9BE120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EBFD6E7"/>
    <w:multiLevelType w:val="singleLevel"/>
    <w:tmpl w:val="FEBFD6E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3FDF12C1"/>
    <w:multiLevelType w:val="singleLevel"/>
    <w:tmpl w:val="3FDF12C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DBEB52F"/>
    <w:multiLevelType w:val="singleLevel"/>
    <w:tmpl w:val="5DBEB52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3D34128"/>
    <w:multiLevelType w:val="singleLevel"/>
    <w:tmpl w:val="73D341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D3EDC79"/>
    <w:multiLevelType w:val="singleLevel"/>
    <w:tmpl w:val="7D3EDC7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15"/>
  </w:num>
  <w:num w:numId="5">
    <w:abstractNumId w:val="1"/>
  </w:num>
  <w:num w:numId="6">
    <w:abstractNumId w:val="0"/>
  </w:num>
  <w:num w:numId="7">
    <w:abstractNumId w:val="12"/>
  </w:num>
  <w:num w:numId="8">
    <w:abstractNumId w:val="4"/>
  </w:num>
  <w:num w:numId="9">
    <w:abstractNumId w:val="3"/>
  </w:num>
  <w:num w:numId="10">
    <w:abstractNumId w:val="8"/>
  </w:num>
  <w:num w:numId="11">
    <w:abstractNumId w:val="9"/>
  </w:num>
  <w:num w:numId="12">
    <w:abstractNumId w:val="6"/>
  </w:num>
  <w:num w:numId="13">
    <w:abstractNumId w:val="10"/>
  </w:num>
  <w:num w:numId="14">
    <w:abstractNumId w:val="13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C1E57"/>
    <w:rsid w:val="4FDC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2026-03-18T14:18:00Z</dcterms:created>
  <dc:creator>陈张伟</dc:creator>
  <cp:lastModifiedBy>陈张伟</cp:lastModifiedBy>
  <dcterms:modified xsi:type="dcterms:W3CDTF">2026-03-18T16:10:33Z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FD91A74D2218269AB943BA691836241B_41</vt:lpwstr>
  </property>
</Properties>
</file>